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50212855" w:displacedByCustomXml="next"/>
    <w:sdt>
      <w:sdtPr>
        <w:id w:val="1176761540"/>
        <w:docPartObj>
          <w:docPartGallery w:val="Cover Pages"/>
          <w:docPartUnique/>
        </w:docPartObj>
      </w:sdtPr>
      <w:sdtEndPr>
        <w:rPr>
          <w:b/>
          <w:bCs/>
          <w:lang w:val="es-ES"/>
        </w:rPr>
      </w:sdtEndPr>
      <w:sdtContent>
        <w:bookmarkStart w:id="1" w:name="_GoBack" w:displacedByCustomXml="prev"/>
        <w:bookmarkEnd w:id="1" w:displacedByCustomXml="prev"/>
        <w:p w:rsidR="00233779" w:rsidRPr="008B43F6" w:rsidRDefault="00233779" w:rsidP="00C92E54"/>
        <w:tbl>
          <w:tblPr>
            <w:tblpPr w:leftFromText="187" w:rightFromText="187" w:horzAnchor="margin" w:tblpXSpec="right" w:tblpYSpec="top"/>
            <w:tblW w:w="2736"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4962"/>
          </w:tblGrid>
          <w:tr w:rsidR="00233779" w:rsidRPr="008B43F6" w:rsidTr="004D5547">
            <w:sdt>
              <w:sdtPr>
                <w:rPr>
                  <w:rFonts w:eastAsiaTheme="majorEastAsia" w:cstheme="majorBidi"/>
                  <w:sz w:val="66"/>
                  <w:szCs w:val="66"/>
                </w:rPr>
                <w:alias w:val="Título"/>
                <w:id w:val="13553149"/>
                <w:dataBinding w:prefixMappings="xmlns:ns0='http://schemas.openxmlformats.org/package/2006/metadata/core-properties' xmlns:ns1='http://purl.org/dc/elements/1.1/'" w:xpath="/ns0:coreProperties[1]/ns1:title[1]" w:storeItemID="{6C3C8BC8-F283-45AE-878A-BAB7291924A1}"/>
                <w:text/>
              </w:sdtPr>
              <w:sdtContent>
                <w:tc>
                  <w:tcPr>
                    <w:tcW w:w="0" w:type="auto"/>
                  </w:tcPr>
                  <w:p w:rsidR="00233779" w:rsidRPr="004D5547" w:rsidRDefault="00724C18" w:rsidP="00C92E54">
                    <w:pPr>
                      <w:pStyle w:val="Sinespaciado"/>
                      <w:spacing w:line="276" w:lineRule="auto"/>
                      <w:rPr>
                        <w:rFonts w:eastAsiaTheme="majorEastAsia" w:cstheme="majorBidi"/>
                        <w:sz w:val="66"/>
                        <w:szCs w:val="66"/>
                      </w:rPr>
                    </w:pPr>
                    <w:r w:rsidRPr="004D5547">
                      <w:rPr>
                        <w:rFonts w:eastAsiaTheme="majorEastAsia" w:cstheme="majorBidi"/>
                        <w:sz w:val="66"/>
                        <w:szCs w:val="66"/>
                      </w:rPr>
                      <w:t>Co-beneficios de un programa de vivienda energéticamente eficiente en México</w:t>
                    </w:r>
                  </w:p>
                </w:tc>
              </w:sdtContent>
            </w:sdt>
          </w:tr>
          <w:tr w:rsidR="00233779" w:rsidRPr="008B43F6" w:rsidTr="004D5547">
            <w:sdt>
              <w:sdtPr>
                <w:rPr>
                  <w:sz w:val="34"/>
                  <w:szCs w:val="34"/>
                </w:rPr>
                <w:alias w:val="Subtítulo"/>
                <w:id w:val="13553153"/>
                <w:dataBinding w:prefixMappings="xmlns:ns0='http://schemas.openxmlformats.org/package/2006/metadata/core-properties' xmlns:ns1='http://purl.org/dc/elements/1.1/'" w:xpath="/ns0:coreProperties[1]/ns1:subject[1]" w:storeItemID="{6C3C8BC8-F283-45AE-878A-BAB7291924A1}"/>
                <w:text/>
              </w:sdtPr>
              <w:sdtContent>
                <w:tc>
                  <w:tcPr>
                    <w:tcW w:w="0" w:type="auto"/>
                  </w:tcPr>
                  <w:p w:rsidR="00233779" w:rsidRPr="008B43F6" w:rsidRDefault="00EA15E2" w:rsidP="00EA15E2">
                    <w:pPr>
                      <w:pStyle w:val="Sinespaciado"/>
                      <w:spacing w:line="276" w:lineRule="auto"/>
                      <w:rPr>
                        <w:sz w:val="40"/>
                        <w:szCs w:val="40"/>
                      </w:rPr>
                    </w:pPr>
                    <w:r w:rsidRPr="004D5547">
                      <w:rPr>
                        <w:sz w:val="34"/>
                        <w:szCs w:val="34"/>
                      </w:rPr>
                      <w:t xml:space="preserve">Elaborado por ENTE S.C. para CONAVI con el apoyo de </w:t>
                    </w:r>
                    <w:proofErr w:type="spellStart"/>
                    <w:r w:rsidRPr="004D5547">
                      <w:rPr>
                        <w:sz w:val="34"/>
                        <w:szCs w:val="34"/>
                      </w:rPr>
                      <w:t>Environment</w:t>
                    </w:r>
                    <w:proofErr w:type="spellEnd"/>
                    <w:r w:rsidRPr="004D5547">
                      <w:rPr>
                        <w:sz w:val="34"/>
                        <w:szCs w:val="34"/>
                      </w:rPr>
                      <w:t xml:space="preserve">  </w:t>
                    </w:r>
                    <w:proofErr w:type="spellStart"/>
                    <w:r w:rsidRPr="004D5547">
                      <w:rPr>
                        <w:sz w:val="34"/>
                        <w:szCs w:val="34"/>
                      </w:rPr>
                      <w:t>Canada</w:t>
                    </w:r>
                    <w:proofErr w:type="spellEnd"/>
                  </w:p>
                </w:tc>
              </w:sdtContent>
            </w:sdt>
          </w:tr>
          <w:tr w:rsidR="00233779" w:rsidRPr="008B43F6" w:rsidTr="004D5547">
            <w:sdt>
              <w:sdtPr>
                <w:rPr>
                  <w:sz w:val="28"/>
                  <w:szCs w:val="28"/>
                </w:rPr>
                <w:alias w:val="Autor"/>
                <w:id w:val="13553158"/>
                <w:dataBinding w:prefixMappings="xmlns:ns0='http://schemas.openxmlformats.org/package/2006/metadata/core-properties' xmlns:ns1='http://purl.org/dc/elements/1.1/'" w:xpath="/ns0:coreProperties[1]/ns1:creator[1]" w:storeItemID="{6C3C8BC8-F283-45AE-878A-BAB7291924A1}"/>
                <w:text/>
              </w:sdtPr>
              <w:sdtContent>
                <w:tc>
                  <w:tcPr>
                    <w:tcW w:w="0" w:type="auto"/>
                  </w:tcPr>
                  <w:p w:rsidR="00233779" w:rsidRPr="008B43F6" w:rsidRDefault="00233779" w:rsidP="00C92E54">
                    <w:pPr>
                      <w:pStyle w:val="Sinespaciado"/>
                      <w:spacing w:line="276" w:lineRule="auto"/>
                      <w:rPr>
                        <w:sz w:val="28"/>
                        <w:szCs w:val="28"/>
                      </w:rPr>
                    </w:pPr>
                    <w:r w:rsidRPr="008B43F6">
                      <w:rPr>
                        <w:sz w:val="28"/>
                        <w:szCs w:val="28"/>
                      </w:rPr>
                      <w:t>Marzo 2013</w:t>
                    </w:r>
                  </w:p>
                </w:tc>
              </w:sdtContent>
            </w:sdt>
          </w:tr>
        </w:tbl>
        <w:p w:rsidR="00233779" w:rsidRPr="008B43F6" w:rsidRDefault="00233779" w:rsidP="00C92E54"/>
        <w:p w:rsidR="00EA15E2" w:rsidRDefault="00EA15E2" w:rsidP="00C92E54">
          <w:pPr>
            <w:rPr>
              <w:lang w:val="es-ES"/>
            </w:rPr>
          </w:pPr>
        </w:p>
        <w:p w:rsidR="00EA15E2" w:rsidRDefault="00EA15E2" w:rsidP="00C92E54">
          <w:pPr>
            <w:rPr>
              <w:lang w:val="es-ES"/>
            </w:rPr>
          </w:pPr>
        </w:p>
        <w:p w:rsidR="00EA15E2" w:rsidRDefault="00EA15E2" w:rsidP="00C92E54">
          <w:pPr>
            <w:rPr>
              <w:lang w:val="es-ES"/>
            </w:rPr>
          </w:pPr>
        </w:p>
        <w:p w:rsidR="00EA15E2" w:rsidRDefault="00EA15E2" w:rsidP="00C92E54">
          <w:pPr>
            <w:rPr>
              <w:lang w:val="es-ES"/>
            </w:rPr>
          </w:pPr>
        </w:p>
        <w:p w:rsidR="00EA15E2" w:rsidRDefault="00EA15E2" w:rsidP="00C92E54">
          <w:pPr>
            <w:rPr>
              <w:lang w:val="es-ES"/>
            </w:rPr>
          </w:pPr>
        </w:p>
        <w:p w:rsidR="00EA15E2" w:rsidRDefault="00EA15E2" w:rsidP="00C92E54">
          <w:pPr>
            <w:rPr>
              <w:lang w:val="es-ES"/>
            </w:rPr>
          </w:pPr>
        </w:p>
        <w:p w:rsidR="00EA15E2" w:rsidRDefault="00EA15E2" w:rsidP="00C92E54">
          <w:pPr>
            <w:rPr>
              <w:lang w:val="es-ES"/>
            </w:rPr>
          </w:pPr>
        </w:p>
        <w:p w:rsidR="00EA15E2" w:rsidRDefault="00EA15E2" w:rsidP="00C92E54">
          <w:pPr>
            <w:rPr>
              <w:lang w:val="es-ES"/>
            </w:rPr>
          </w:pPr>
        </w:p>
        <w:p w:rsidR="00EA15E2" w:rsidRDefault="00EA15E2" w:rsidP="00C92E54">
          <w:pPr>
            <w:rPr>
              <w:lang w:val="es-ES"/>
            </w:rPr>
          </w:pPr>
        </w:p>
        <w:p w:rsidR="00EA15E2" w:rsidRDefault="00EA15E2" w:rsidP="00C92E54">
          <w:pPr>
            <w:rPr>
              <w:lang w:val="es-ES"/>
            </w:rPr>
          </w:pPr>
        </w:p>
        <w:p w:rsidR="00EA15E2" w:rsidRDefault="00EA15E2" w:rsidP="00C92E54">
          <w:pPr>
            <w:rPr>
              <w:lang w:val="es-ES"/>
            </w:rPr>
          </w:pPr>
        </w:p>
        <w:p w:rsidR="00EA15E2" w:rsidRDefault="00EA15E2" w:rsidP="00C92E54">
          <w:pPr>
            <w:rPr>
              <w:lang w:val="es-ES"/>
            </w:rPr>
          </w:pPr>
        </w:p>
        <w:p w:rsidR="00EA15E2" w:rsidRDefault="00EA15E2" w:rsidP="00C92E54">
          <w:pPr>
            <w:rPr>
              <w:lang w:val="es-ES"/>
            </w:rPr>
          </w:pPr>
        </w:p>
        <w:p w:rsidR="00EA15E2" w:rsidRDefault="00EA15E2" w:rsidP="00C92E54">
          <w:pPr>
            <w:rPr>
              <w:lang w:val="es-ES"/>
            </w:rPr>
          </w:pPr>
        </w:p>
        <w:p w:rsidR="00EA15E2" w:rsidRDefault="00EA15E2" w:rsidP="00C92E54">
          <w:pPr>
            <w:rPr>
              <w:lang w:val="es-ES"/>
            </w:rPr>
          </w:pPr>
        </w:p>
        <w:p w:rsidR="00EA15E2" w:rsidRDefault="00EA15E2" w:rsidP="00C92E54">
          <w:pPr>
            <w:rPr>
              <w:lang w:val="es-ES"/>
            </w:rPr>
          </w:pPr>
        </w:p>
        <w:p w:rsidR="00EA15E2" w:rsidRDefault="00EA15E2" w:rsidP="00C92E54">
          <w:pPr>
            <w:rPr>
              <w:lang w:val="es-ES"/>
            </w:rPr>
          </w:pPr>
        </w:p>
        <w:p w:rsidR="00EA15E2" w:rsidRDefault="00EA15E2" w:rsidP="00EA15E2">
          <w:pPr>
            <w:rPr>
              <w:b/>
              <w:bCs/>
              <w:lang w:val="es-ES"/>
            </w:rPr>
          </w:pPr>
        </w:p>
      </w:sdtContent>
    </w:sdt>
    <w:p w:rsidR="00EF015C" w:rsidRPr="008B43F6" w:rsidRDefault="00EF015C" w:rsidP="00EA15E2">
      <w:pPr>
        <w:spacing w:after="0"/>
        <w:jc w:val="right"/>
        <w:rPr>
          <w:b/>
        </w:rPr>
      </w:pPr>
      <w:r w:rsidRPr="008B43F6">
        <w:rPr>
          <w:b/>
        </w:rPr>
        <w:t>Autores:</w:t>
      </w:r>
    </w:p>
    <w:p w:rsidR="00EA15E2" w:rsidRDefault="002A7B2A" w:rsidP="00EA15E2">
      <w:pPr>
        <w:spacing w:after="0" w:line="240" w:lineRule="auto"/>
        <w:jc w:val="right"/>
      </w:pPr>
      <w:r w:rsidRPr="008B43F6">
        <w:t>Judith Navarro</w:t>
      </w:r>
    </w:p>
    <w:p w:rsidR="00EF015C" w:rsidRPr="008B43F6" w:rsidRDefault="00EF015C" w:rsidP="00EA15E2">
      <w:pPr>
        <w:spacing w:after="0" w:line="240" w:lineRule="auto"/>
        <w:jc w:val="right"/>
      </w:pPr>
      <w:r w:rsidRPr="008B43F6">
        <w:t>Rebeca de Buen</w:t>
      </w:r>
    </w:p>
    <w:p w:rsidR="00EF015C" w:rsidRPr="008B43F6" w:rsidRDefault="00EF015C" w:rsidP="00EA15E2">
      <w:pPr>
        <w:spacing w:after="0" w:line="240" w:lineRule="auto"/>
        <w:jc w:val="right"/>
      </w:pPr>
      <w:r w:rsidRPr="008B43F6">
        <w:t>Pablo Cuevas</w:t>
      </w:r>
    </w:p>
    <w:p w:rsidR="00EF015C" w:rsidRPr="008B43F6" w:rsidRDefault="00EF015C" w:rsidP="00EA15E2">
      <w:pPr>
        <w:spacing w:after="0" w:line="240" w:lineRule="auto"/>
        <w:jc w:val="right"/>
      </w:pPr>
      <w:r w:rsidRPr="008B43F6">
        <w:t>Odón de Buen</w:t>
      </w:r>
    </w:p>
    <w:p w:rsidR="00EA15E2" w:rsidRDefault="00EA15E2" w:rsidP="00C92E54">
      <w:pPr>
        <w:rPr>
          <w:sz w:val="16"/>
          <w:szCs w:val="16"/>
        </w:rPr>
      </w:pPr>
    </w:p>
    <w:p w:rsidR="00EF015C" w:rsidRPr="00EA15E2" w:rsidRDefault="00EF015C" w:rsidP="00C92E54">
      <w:pPr>
        <w:rPr>
          <w:sz w:val="16"/>
          <w:szCs w:val="16"/>
        </w:rPr>
      </w:pPr>
      <w:r w:rsidRPr="00EA15E2">
        <w:rPr>
          <w:sz w:val="16"/>
          <w:szCs w:val="16"/>
        </w:rPr>
        <w:t>El presente estudio titulado “</w:t>
      </w:r>
      <w:r w:rsidRPr="00EA15E2">
        <w:rPr>
          <w:i/>
          <w:sz w:val="16"/>
          <w:szCs w:val="16"/>
        </w:rPr>
        <w:t xml:space="preserve">Co-beneficios de un programa de vivienda energéticamente eficiente en </w:t>
      </w:r>
      <w:r w:rsidR="00874C62" w:rsidRPr="00EA15E2">
        <w:rPr>
          <w:i/>
          <w:sz w:val="16"/>
          <w:szCs w:val="16"/>
        </w:rPr>
        <w:t>México</w:t>
      </w:r>
      <w:r w:rsidRPr="00EA15E2">
        <w:rPr>
          <w:sz w:val="16"/>
          <w:szCs w:val="16"/>
        </w:rPr>
        <w:t xml:space="preserve">”,  fue elaborado por ENTE S.C. con el apoyo de Environment  Canada. </w:t>
      </w:r>
      <w:r w:rsidRPr="00EA15E2">
        <w:rPr>
          <w:rStyle w:val="apple-converted-space"/>
          <w:rFonts w:cs="Arial"/>
          <w:color w:val="222222"/>
          <w:sz w:val="16"/>
          <w:szCs w:val="16"/>
          <w:shd w:val="clear" w:color="auto" w:fill="FFFFFF"/>
        </w:rPr>
        <w:t> </w:t>
      </w:r>
      <w:r w:rsidRPr="00EA15E2">
        <w:rPr>
          <w:rFonts w:cs="Arial"/>
          <w:color w:val="222222"/>
          <w:sz w:val="16"/>
          <w:szCs w:val="16"/>
          <w:shd w:val="clear" w:color="auto" w:fill="FFFFFF"/>
        </w:rPr>
        <w:t>La información a</w:t>
      </w:r>
      <w:r w:rsidRPr="00EA15E2">
        <w:rPr>
          <w:sz w:val="16"/>
          <w:szCs w:val="16"/>
        </w:rPr>
        <w:t xml:space="preserve">quí integrada y las opiniones expresadas son responsabilidad única de ENTE, S.C. </w:t>
      </w:r>
      <w:r w:rsidRPr="00EA15E2">
        <w:rPr>
          <w:sz w:val="16"/>
          <w:szCs w:val="16"/>
        </w:rPr>
        <w:br w:type="page"/>
      </w:r>
    </w:p>
    <w:sdt>
      <w:sdtPr>
        <w:rPr>
          <w:rFonts w:asciiTheme="minorHAnsi" w:eastAsiaTheme="minorHAnsi" w:hAnsiTheme="minorHAnsi" w:cstheme="minorBidi"/>
          <w:b w:val="0"/>
          <w:bCs w:val="0"/>
          <w:color w:val="auto"/>
          <w:sz w:val="22"/>
          <w:szCs w:val="22"/>
          <w:lang w:val="es-ES" w:eastAsia="en-US"/>
        </w:rPr>
        <w:id w:val="228581273"/>
        <w:docPartObj>
          <w:docPartGallery w:val="Table of Contents"/>
          <w:docPartUnique/>
        </w:docPartObj>
      </w:sdtPr>
      <w:sdtContent>
        <w:p w:rsidR="00EF015C" w:rsidRPr="008B43F6" w:rsidRDefault="00EF015C" w:rsidP="00C92E54">
          <w:pPr>
            <w:pStyle w:val="TtulodeTDC"/>
            <w:rPr>
              <w:rFonts w:asciiTheme="minorHAnsi" w:hAnsiTheme="minorHAnsi"/>
            </w:rPr>
          </w:pPr>
          <w:r w:rsidRPr="008B43F6">
            <w:rPr>
              <w:rFonts w:asciiTheme="minorHAnsi" w:hAnsiTheme="minorHAnsi"/>
              <w:lang w:val="es-ES"/>
            </w:rPr>
            <w:t>Contenido</w:t>
          </w:r>
        </w:p>
        <w:p w:rsidR="009A40E7" w:rsidRDefault="00EF015C">
          <w:pPr>
            <w:pStyle w:val="TDC1"/>
            <w:tabs>
              <w:tab w:val="left" w:pos="440"/>
              <w:tab w:val="right" w:leader="dot" w:pos="8828"/>
            </w:tabs>
            <w:rPr>
              <w:rFonts w:eastAsiaTheme="minorEastAsia"/>
              <w:noProof/>
              <w:lang w:val="en-US"/>
            </w:rPr>
          </w:pPr>
          <w:r w:rsidRPr="008B43F6">
            <w:fldChar w:fldCharType="begin"/>
          </w:r>
          <w:r w:rsidRPr="008B43F6">
            <w:instrText xml:space="preserve"> TOC \o "1-3" \h \z \u </w:instrText>
          </w:r>
          <w:r w:rsidRPr="008B43F6">
            <w:fldChar w:fldCharType="separate"/>
          </w:r>
          <w:hyperlink w:anchor="_Toc351397566" w:history="1">
            <w:r w:rsidR="009A40E7" w:rsidRPr="009F4DD6">
              <w:rPr>
                <w:rStyle w:val="Hipervnculo"/>
                <w:noProof/>
              </w:rPr>
              <w:t>1.</w:t>
            </w:r>
            <w:r w:rsidR="009A40E7">
              <w:rPr>
                <w:rFonts w:eastAsiaTheme="minorEastAsia"/>
                <w:noProof/>
                <w:lang w:val="en-US"/>
              </w:rPr>
              <w:tab/>
            </w:r>
            <w:r w:rsidR="009A40E7" w:rsidRPr="009F4DD6">
              <w:rPr>
                <w:rStyle w:val="Hipervnculo"/>
                <w:noProof/>
              </w:rPr>
              <w:t>Introducción</w:t>
            </w:r>
            <w:r w:rsidR="009A40E7">
              <w:rPr>
                <w:noProof/>
                <w:webHidden/>
              </w:rPr>
              <w:tab/>
            </w:r>
            <w:r w:rsidR="009A40E7">
              <w:rPr>
                <w:noProof/>
                <w:webHidden/>
              </w:rPr>
              <w:fldChar w:fldCharType="begin"/>
            </w:r>
            <w:r w:rsidR="009A40E7">
              <w:rPr>
                <w:noProof/>
                <w:webHidden/>
              </w:rPr>
              <w:instrText xml:space="preserve"> PAGEREF _Toc351397566 \h </w:instrText>
            </w:r>
            <w:r w:rsidR="009A40E7">
              <w:rPr>
                <w:noProof/>
                <w:webHidden/>
              </w:rPr>
            </w:r>
            <w:r w:rsidR="009A40E7">
              <w:rPr>
                <w:noProof/>
                <w:webHidden/>
              </w:rPr>
              <w:fldChar w:fldCharType="separate"/>
            </w:r>
            <w:r w:rsidR="00DE4C4C">
              <w:rPr>
                <w:noProof/>
                <w:webHidden/>
              </w:rPr>
              <w:t>3</w:t>
            </w:r>
            <w:r w:rsidR="009A40E7">
              <w:rPr>
                <w:noProof/>
                <w:webHidden/>
              </w:rPr>
              <w:fldChar w:fldCharType="end"/>
            </w:r>
          </w:hyperlink>
        </w:p>
        <w:p w:rsidR="009A40E7" w:rsidRDefault="00EA15E2">
          <w:pPr>
            <w:pStyle w:val="TDC2"/>
            <w:tabs>
              <w:tab w:val="right" w:leader="dot" w:pos="8828"/>
            </w:tabs>
            <w:rPr>
              <w:rFonts w:eastAsiaTheme="minorEastAsia"/>
              <w:noProof/>
              <w:lang w:val="en-US"/>
            </w:rPr>
          </w:pPr>
          <w:hyperlink w:anchor="_Toc351397567" w:history="1">
            <w:r w:rsidR="009A40E7" w:rsidRPr="009F4DD6">
              <w:rPr>
                <w:rStyle w:val="Hipervnculo"/>
                <w:noProof/>
              </w:rPr>
              <w:t>1.1 Los edificios y el cambio climático</w:t>
            </w:r>
            <w:r w:rsidR="009A40E7">
              <w:rPr>
                <w:noProof/>
                <w:webHidden/>
              </w:rPr>
              <w:tab/>
            </w:r>
            <w:r w:rsidR="009A40E7">
              <w:rPr>
                <w:noProof/>
                <w:webHidden/>
              </w:rPr>
              <w:fldChar w:fldCharType="begin"/>
            </w:r>
            <w:r w:rsidR="009A40E7">
              <w:rPr>
                <w:noProof/>
                <w:webHidden/>
              </w:rPr>
              <w:instrText xml:space="preserve"> PAGEREF _Toc351397567 \h </w:instrText>
            </w:r>
            <w:r w:rsidR="009A40E7">
              <w:rPr>
                <w:noProof/>
                <w:webHidden/>
              </w:rPr>
            </w:r>
            <w:r w:rsidR="009A40E7">
              <w:rPr>
                <w:noProof/>
                <w:webHidden/>
              </w:rPr>
              <w:fldChar w:fldCharType="separate"/>
            </w:r>
            <w:r w:rsidR="00DE4C4C">
              <w:rPr>
                <w:noProof/>
                <w:webHidden/>
              </w:rPr>
              <w:t>3</w:t>
            </w:r>
            <w:r w:rsidR="009A40E7">
              <w:rPr>
                <w:noProof/>
                <w:webHidden/>
              </w:rPr>
              <w:fldChar w:fldCharType="end"/>
            </w:r>
          </w:hyperlink>
        </w:p>
        <w:p w:rsidR="009A40E7" w:rsidRDefault="00EA15E2">
          <w:pPr>
            <w:pStyle w:val="TDC2"/>
            <w:tabs>
              <w:tab w:val="right" w:leader="dot" w:pos="8828"/>
            </w:tabs>
            <w:rPr>
              <w:rFonts w:eastAsiaTheme="minorEastAsia"/>
              <w:noProof/>
              <w:lang w:val="en-US"/>
            </w:rPr>
          </w:pPr>
          <w:hyperlink w:anchor="_Toc351397568" w:history="1">
            <w:r w:rsidR="009A40E7" w:rsidRPr="009F4DD6">
              <w:rPr>
                <w:rStyle w:val="Hipervnculo"/>
                <w:rFonts w:eastAsia="Times New Roman"/>
                <w:noProof/>
              </w:rPr>
              <w:t>1.2 Co-beneficios de la vivienda sustentable</w:t>
            </w:r>
            <w:r w:rsidR="009A40E7">
              <w:rPr>
                <w:noProof/>
                <w:webHidden/>
              </w:rPr>
              <w:tab/>
            </w:r>
            <w:r w:rsidR="009A40E7">
              <w:rPr>
                <w:noProof/>
                <w:webHidden/>
              </w:rPr>
              <w:fldChar w:fldCharType="begin"/>
            </w:r>
            <w:r w:rsidR="009A40E7">
              <w:rPr>
                <w:noProof/>
                <w:webHidden/>
              </w:rPr>
              <w:instrText xml:space="preserve"> PAGEREF _Toc351397568 \h </w:instrText>
            </w:r>
            <w:r w:rsidR="009A40E7">
              <w:rPr>
                <w:noProof/>
                <w:webHidden/>
              </w:rPr>
            </w:r>
            <w:r w:rsidR="009A40E7">
              <w:rPr>
                <w:noProof/>
                <w:webHidden/>
              </w:rPr>
              <w:fldChar w:fldCharType="separate"/>
            </w:r>
            <w:r w:rsidR="00DE4C4C">
              <w:rPr>
                <w:noProof/>
                <w:webHidden/>
              </w:rPr>
              <w:t>3</w:t>
            </w:r>
            <w:r w:rsidR="009A40E7">
              <w:rPr>
                <w:noProof/>
                <w:webHidden/>
              </w:rPr>
              <w:fldChar w:fldCharType="end"/>
            </w:r>
          </w:hyperlink>
        </w:p>
        <w:p w:rsidR="009A40E7" w:rsidRDefault="00EA15E2">
          <w:pPr>
            <w:pStyle w:val="TDC2"/>
            <w:tabs>
              <w:tab w:val="right" w:leader="dot" w:pos="8828"/>
            </w:tabs>
            <w:rPr>
              <w:rFonts w:eastAsiaTheme="minorEastAsia"/>
              <w:noProof/>
              <w:lang w:val="en-US"/>
            </w:rPr>
          </w:pPr>
          <w:hyperlink w:anchor="_Toc351397569" w:history="1">
            <w:r w:rsidR="009A40E7" w:rsidRPr="009F4DD6">
              <w:rPr>
                <w:rStyle w:val="Hipervnculo"/>
                <w:noProof/>
              </w:rPr>
              <w:t>1.3 Estructura del reporte</w:t>
            </w:r>
            <w:r w:rsidR="009A40E7">
              <w:rPr>
                <w:noProof/>
                <w:webHidden/>
              </w:rPr>
              <w:tab/>
            </w:r>
            <w:r w:rsidR="009A40E7">
              <w:rPr>
                <w:noProof/>
                <w:webHidden/>
              </w:rPr>
              <w:fldChar w:fldCharType="begin"/>
            </w:r>
            <w:r w:rsidR="009A40E7">
              <w:rPr>
                <w:noProof/>
                <w:webHidden/>
              </w:rPr>
              <w:instrText xml:space="preserve"> PAGEREF _Toc351397569 \h </w:instrText>
            </w:r>
            <w:r w:rsidR="009A40E7">
              <w:rPr>
                <w:noProof/>
                <w:webHidden/>
              </w:rPr>
            </w:r>
            <w:r w:rsidR="009A40E7">
              <w:rPr>
                <w:noProof/>
                <w:webHidden/>
              </w:rPr>
              <w:fldChar w:fldCharType="separate"/>
            </w:r>
            <w:r w:rsidR="00DE4C4C">
              <w:rPr>
                <w:noProof/>
                <w:webHidden/>
              </w:rPr>
              <w:t>4</w:t>
            </w:r>
            <w:r w:rsidR="009A40E7">
              <w:rPr>
                <w:noProof/>
                <w:webHidden/>
              </w:rPr>
              <w:fldChar w:fldCharType="end"/>
            </w:r>
          </w:hyperlink>
        </w:p>
        <w:p w:rsidR="009A40E7" w:rsidRDefault="00EA15E2">
          <w:pPr>
            <w:pStyle w:val="TDC1"/>
            <w:tabs>
              <w:tab w:val="left" w:pos="440"/>
              <w:tab w:val="right" w:leader="dot" w:pos="8828"/>
            </w:tabs>
            <w:rPr>
              <w:rFonts w:eastAsiaTheme="minorEastAsia"/>
              <w:noProof/>
              <w:lang w:val="en-US"/>
            </w:rPr>
          </w:pPr>
          <w:hyperlink w:anchor="_Toc351397570" w:history="1">
            <w:r w:rsidR="009A40E7" w:rsidRPr="009F4DD6">
              <w:rPr>
                <w:rStyle w:val="Hipervnculo"/>
                <w:noProof/>
              </w:rPr>
              <w:t>2.</w:t>
            </w:r>
            <w:r w:rsidR="009A40E7">
              <w:rPr>
                <w:rFonts w:eastAsiaTheme="minorEastAsia"/>
                <w:noProof/>
                <w:lang w:val="en-US"/>
              </w:rPr>
              <w:tab/>
            </w:r>
            <w:r w:rsidR="009A40E7" w:rsidRPr="009F4DD6">
              <w:rPr>
                <w:rStyle w:val="Hipervnculo"/>
                <w:noProof/>
              </w:rPr>
              <w:t>Contexto socio-económico, de vivienda, de energía y de medio ambiente de México</w:t>
            </w:r>
            <w:r w:rsidR="009A40E7">
              <w:rPr>
                <w:noProof/>
                <w:webHidden/>
              </w:rPr>
              <w:tab/>
            </w:r>
            <w:r w:rsidR="009A40E7">
              <w:rPr>
                <w:noProof/>
                <w:webHidden/>
              </w:rPr>
              <w:fldChar w:fldCharType="begin"/>
            </w:r>
            <w:r w:rsidR="009A40E7">
              <w:rPr>
                <w:noProof/>
                <w:webHidden/>
              </w:rPr>
              <w:instrText xml:space="preserve"> PAGEREF _Toc351397570 \h </w:instrText>
            </w:r>
            <w:r w:rsidR="009A40E7">
              <w:rPr>
                <w:noProof/>
                <w:webHidden/>
              </w:rPr>
            </w:r>
            <w:r w:rsidR="009A40E7">
              <w:rPr>
                <w:noProof/>
                <w:webHidden/>
              </w:rPr>
              <w:fldChar w:fldCharType="separate"/>
            </w:r>
            <w:r w:rsidR="00DE4C4C">
              <w:rPr>
                <w:noProof/>
                <w:webHidden/>
              </w:rPr>
              <w:t>5</w:t>
            </w:r>
            <w:r w:rsidR="009A40E7">
              <w:rPr>
                <w:noProof/>
                <w:webHidden/>
              </w:rPr>
              <w:fldChar w:fldCharType="end"/>
            </w:r>
          </w:hyperlink>
        </w:p>
        <w:p w:rsidR="009A40E7" w:rsidRDefault="00EA15E2">
          <w:pPr>
            <w:pStyle w:val="TDC2"/>
            <w:tabs>
              <w:tab w:val="right" w:leader="dot" w:pos="8828"/>
            </w:tabs>
            <w:rPr>
              <w:rFonts w:eastAsiaTheme="minorEastAsia"/>
              <w:noProof/>
              <w:lang w:val="en-US"/>
            </w:rPr>
          </w:pPr>
          <w:hyperlink w:anchor="_Toc351397571" w:history="1">
            <w:r w:rsidR="009A40E7" w:rsidRPr="009F4DD6">
              <w:rPr>
                <w:rStyle w:val="Hipervnculo"/>
                <w:noProof/>
              </w:rPr>
              <w:t>2.1 Población y vivienda</w:t>
            </w:r>
            <w:r w:rsidR="009A40E7">
              <w:rPr>
                <w:noProof/>
                <w:webHidden/>
              </w:rPr>
              <w:tab/>
            </w:r>
            <w:r w:rsidR="009A40E7">
              <w:rPr>
                <w:noProof/>
                <w:webHidden/>
              </w:rPr>
              <w:fldChar w:fldCharType="begin"/>
            </w:r>
            <w:r w:rsidR="009A40E7">
              <w:rPr>
                <w:noProof/>
                <w:webHidden/>
              </w:rPr>
              <w:instrText xml:space="preserve"> PAGEREF _Toc351397571 \h </w:instrText>
            </w:r>
            <w:r w:rsidR="009A40E7">
              <w:rPr>
                <w:noProof/>
                <w:webHidden/>
              </w:rPr>
            </w:r>
            <w:r w:rsidR="009A40E7">
              <w:rPr>
                <w:noProof/>
                <w:webHidden/>
              </w:rPr>
              <w:fldChar w:fldCharType="separate"/>
            </w:r>
            <w:r w:rsidR="00DE4C4C">
              <w:rPr>
                <w:noProof/>
                <w:webHidden/>
              </w:rPr>
              <w:t>5</w:t>
            </w:r>
            <w:r w:rsidR="009A40E7">
              <w:rPr>
                <w:noProof/>
                <w:webHidden/>
              </w:rPr>
              <w:fldChar w:fldCharType="end"/>
            </w:r>
          </w:hyperlink>
        </w:p>
        <w:p w:rsidR="009A40E7" w:rsidRDefault="00EA15E2">
          <w:pPr>
            <w:pStyle w:val="TDC2"/>
            <w:tabs>
              <w:tab w:val="right" w:leader="dot" w:pos="8828"/>
            </w:tabs>
            <w:rPr>
              <w:rFonts w:eastAsiaTheme="minorEastAsia"/>
              <w:noProof/>
              <w:lang w:val="en-US"/>
            </w:rPr>
          </w:pPr>
          <w:hyperlink w:anchor="_Toc351397572" w:history="1">
            <w:r w:rsidR="009A40E7" w:rsidRPr="009F4DD6">
              <w:rPr>
                <w:rStyle w:val="Hipervnculo"/>
                <w:noProof/>
              </w:rPr>
              <w:t>2.2 Energía</w:t>
            </w:r>
            <w:r w:rsidR="009A40E7">
              <w:rPr>
                <w:noProof/>
                <w:webHidden/>
              </w:rPr>
              <w:tab/>
            </w:r>
            <w:r w:rsidR="009A40E7">
              <w:rPr>
                <w:noProof/>
                <w:webHidden/>
              </w:rPr>
              <w:fldChar w:fldCharType="begin"/>
            </w:r>
            <w:r w:rsidR="009A40E7">
              <w:rPr>
                <w:noProof/>
                <w:webHidden/>
              </w:rPr>
              <w:instrText xml:space="preserve"> PAGEREF _Toc351397572 \h </w:instrText>
            </w:r>
            <w:r w:rsidR="009A40E7">
              <w:rPr>
                <w:noProof/>
                <w:webHidden/>
              </w:rPr>
            </w:r>
            <w:r w:rsidR="009A40E7">
              <w:rPr>
                <w:noProof/>
                <w:webHidden/>
              </w:rPr>
              <w:fldChar w:fldCharType="separate"/>
            </w:r>
            <w:r w:rsidR="00DE4C4C">
              <w:rPr>
                <w:noProof/>
                <w:webHidden/>
              </w:rPr>
              <w:t>5</w:t>
            </w:r>
            <w:r w:rsidR="009A40E7">
              <w:rPr>
                <w:noProof/>
                <w:webHidden/>
              </w:rPr>
              <w:fldChar w:fldCharType="end"/>
            </w:r>
          </w:hyperlink>
        </w:p>
        <w:p w:rsidR="009A40E7" w:rsidRDefault="00EA15E2">
          <w:pPr>
            <w:pStyle w:val="TDC2"/>
            <w:tabs>
              <w:tab w:val="right" w:leader="dot" w:pos="8828"/>
            </w:tabs>
            <w:rPr>
              <w:rFonts w:eastAsiaTheme="minorEastAsia"/>
              <w:noProof/>
              <w:lang w:val="en-US"/>
            </w:rPr>
          </w:pPr>
          <w:hyperlink w:anchor="_Toc351397573" w:history="1">
            <w:r w:rsidR="009A40E7" w:rsidRPr="009F4DD6">
              <w:rPr>
                <w:rStyle w:val="Hipervnculo"/>
                <w:noProof/>
              </w:rPr>
              <w:t>2.3 Medio ambiente</w:t>
            </w:r>
            <w:r w:rsidR="009A40E7">
              <w:rPr>
                <w:noProof/>
                <w:webHidden/>
              </w:rPr>
              <w:tab/>
            </w:r>
            <w:r w:rsidR="009A40E7">
              <w:rPr>
                <w:noProof/>
                <w:webHidden/>
              </w:rPr>
              <w:fldChar w:fldCharType="begin"/>
            </w:r>
            <w:r w:rsidR="009A40E7">
              <w:rPr>
                <w:noProof/>
                <w:webHidden/>
              </w:rPr>
              <w:instrText xml:space="preserve"> PAGEREF _Toc351397573 \h </w:instrText>
            </w:r>
            <w:r w:rsidR="009A40E7">
              <w:rPr>
                <w:noProof/>
                <w:webHidden/>
              </w:rPr>
            </w:r>
            <w:r w:rsidR="009A40E7">
              <w:rPr>
                <w:noProof/>
                <w:webHidden/>
              </w:rPr>
              <w:fldChar w:fldCharType="separate"/>
            </w:r>
            <w:r w:rsidR="00DE4C4C">
              <w:rPr>
                <w:noProof/>
                <w:webHidden/>
              </w:rPr>
              <w:t>6</w:t>
            </w:r>
            <w:r w:rsidR="009A40E7">
              <w:rPr>
                <w:noProof/>
                <w:webHidden/>
              </w:rPr>
              <w:fldChar w:fldCharType="end"/>
            </w:r>
          </w:hyperlink>
        </w:p>
        <w:p w:rsidR="009A40E7" w:rsidRDefault="00EA15E2">
          <w:pPr>
            <w:pStyle w:val="TDC2"/>
            <w:tabs>
              <w:tab w:val="right" w:leader="dot" w:pos="8828"/>
            </w:tabs>
            <w:rPr>
              <w:rFonts w:eastAsiaTheme="minorEastAsia"/>
              <w:noProof/>
              <w:lang w:val="en-US"/>
            </w:rPr>
          </w:pPr>
          <w:hyperlink w:anchor="_Toc351397574" w:history="1">
            <w:r w:rsidR="009A40E7" w:rsidRPr="009F4DD6">
              <w:rPr>
                <w:rStyle w:val="Hipervnculo"/>
                <w:noProof/>
              </w:rPr>
              <w:t>2.4 Salud</w:t>
            </w:r>
            <w:r w:rsidR="009A40E7">
              <w:rPr>
                <w:noProof/>
                <w:webHidden/>
              </w:rPr>
              <w:tab/>
            </w:r>
            <w:r w:rsidR="009A40E7">
              <w:rPr>
                <w:noProof/>
                <w:webHidden/>
              </w:rPr>
              <w:fldChar w:fldCharType="begin"/>
            </w:r>
            <w:r w:rsidR="009A40E7">
              <w:rPr>
                <w:noProof/>
                <w:webHidden/>
              </w:rPr>
              <w:instrText xml:space="preserve"> PAGEREF _Toc351397574 \h </w:instrText>
            </w:r>
            <w:r w:rsidR="009A40E7">
              <w:rPr>
                <w:noProof/>
                <w:webHidden/>
              </w:rPr>
            </w:r>
            <w:r w:rsidR="009A40E7">
              <w:rPr>
                <w:noProof/>
                <w:webHidden/>
              </w:rPr>
              <w:fldChar w:fldCharType="separate"/>
            </w:r>
            <w:r w:rsidR="00DE4C4C">
              <w:rPr>
                <w:noProof/>
                <w:webHidden/>
              </w:rPr>
              <w:t>7</w:t>
            </w:r>
            <w:r w:rsidR="009A40E7">
              <w:rPr>
                <w:noProof/>
                <w:webHidden/>
              </w:rPr>
              <w:fldChar w:fldCharType="end"/>
            </w:r>
          </w:hyperlink>
        </w:p>
        <w:p w:rsidR="009A40E7" w:rsidRDefault="00EA15E2">
          <w:pPr>
            <w:pStyle w:val="TDC2"/>
            <w:tabs>
              <w:tab w:val="right" w:leader="dot" w:pos="8828"/>
            </w:tabs>
            <w:rPr>
              <w:rFonts w:eastAsiaTheme="minorEastAsia"/>
              <w:noProof/>
              <w:lang w:val="en-US"/>
            </w:rPr>
          </w:pPr>
          <w:hyperlink w:anchor="_Toc351397575" w:history="1">
            <w:r w:rsidR="009A40E7" w:rsidRPr="009F4DD6">
              <w:rPr>
                <w:rStyle w:val="Hipervnculo"/>
                <w:noProof/>
              </w:rPr>
              <w:t>2.5 Economía</w:t>
            </w:r>
            <w:r w:rsidR="009A40E7">
              <w:rPr>
                <w:noProof/>
                <w:webHidden/>
              </w:rPr>
              <w:tab/>
            </w:r>
            <w:r w:rsidR="009A40E7">
              <w:rPr>
                <w:noProof/>
                <w:webHidden/>
              </w:rPr>
              <w:fldChar w:fldCharType="begin"/>
            </w:r>
            <w:r w:rsidR="009A40E7">
              <w:rPr>
                <w:noProof/>
                <w:webHidden/>
              </w:rPr>
              <w:instrText xml:space="preserve"> PAGEREF _Toc351397575 \h </w:instrText>
            </w:r>
            <w:r w:rsidR="009A40E7">
              <w:rPr>
                <w:noProof/>
                <w:webHidden/>
              </w:rPr>
            </w:r>
            <w:r w:rsidR="009A40E7">
              <w:rPr>
                <w:noProof/>
                <w:webHidden/>
              </w:rPr>
              <w:fldChar w:fldCharType="separate"/>
            </w:r>
            <w:r w:rsidR="00DE4C4C">
              <w:rPr>
                <w:noProof/>
                <w:webHidden/>
              </w:rPr>
              <w:t>7</w:t>
            </w:r>
            <w:r w:rsidR="009A40E7">
              <w:rPr>
                <w:noProof/>
                <w:webHidden/>
              </w:rPr>
              <w:fldChar w:fldCharType="end"/>
            </w:r>
          </w:hyperlink>
        </w:p>
        <w:p w:rsidR="009A40E7" w:rsidRDefault="00EA15E2">
          <w:pPr>
            <w:pStyle w:val="TDC1"/>
            <w:tabs>
              <w:tab w:val="left" w:pos="440"/>
              <w:tab w:val="right" w:leader="dot" w:pos="8828"/>
            </w:tabs>
            <w:rPr>
              <w:rFonts w:eastAsiaTheme="minorEastAsia"/>
              <w:noProof/>
              <w:lang w:val="en-US"/>
            </w:rPr>
          </w:pPr>
          <w:hyperlink w:anchor="_Toc351397576" w:history="1">
            <w:r w:rsidR="009A40E7" w:rsidRPr="009F4DD6">
              <w:rPr>
                <w:rStyle w:val="Hipervnculo"/>
                <w:noProof/>
              </w:rPr>
              <w:t>3.</w:t>
            </w:r>
            <w:r w:rsidR="009A40E7">
              <w:rPr>
                <w:rFonts w:eastAsiaTheme="minorEastAsia"/>
                <w:noProof/>
                <w:lang w:val="en-US"/>
              </w:rPr>
              <w:tab/>
            </w:r>
            <w:r w:rsidR="009A40E7" w:rsidRPr="009F4DD6">
              <w:rPr>
                <w:rStyle w:val="Hipervnculo"/>
                <w:noProof/>
              </w:rPr>
              <w:t>Prioridades de política pública de México</w:t>
            </w:r>
            <w:r w:rsidR="009A40E7">
              <w:rPr>
                <w:noProof/>
                <w:webHidden/>
              </w:rPr>
              <w:tab/>
            </w:r>
            <w:r w:rsidR="009A40E7">
              <w:rPr>
                <w:noProof/>
                <w:webHidden/>
              </w:rPr>
              <w:fldChar w:fldCharType="begin"/>
            </w:r>
            <w:r w:rsidR="009A40E7">
              <w:rPr>
                <w:noProof/>
                <w:webHidden/>
              </w:rPr>
              <w:instrText xml:space="preserve"> PAGEREF _Toc351397576 \h </w:instrText>
            </w:r>
            <w:r w:rsidR="009A40E7">
              <w:rPr>
                <w:noProof/>
                <w:webHidden/>
              </w:rPr>
            </w:r>
            <w:r w:rsidR="009A40E7">
              <w:rPr>
                <w:noProof/>
                <w:webHidden/>
              </w:rPr>
              <w:fldChar w:fldCharType="separate"/>
            </w:r>
            <w:r w:rsidR="00DE4C4C">
              <w:rPr>
                <w:noProof/>
                <w:webHidden/>
              </w:rPr>
              <w:t>7</w:t>
            </w:r>
            <w:r w:rsidR="009A40E7">
              <w:rPr>
                <w:noProof/>
                <w:webHidden/>
              </w:rPr>
              <w:fldChar w:fldCharType="end"/>
            </w:r>
          </w:hyperlink>
        </w:p>
        <w:p w:rsidR="009A40E7" w:rsidRDefault="00EA15E2">
          <w:pPr>
            <w:pStyle w:val="TDC2"/>
            <w:tabs>
              <w:tab w:val="right" w:leader="dot" w:pos="8828"/>
            </w:tabs>
            <w:rPr>
              <w:rFonts w:eastAsiaTheme="minorEastAsia"/>
              <w:noProof/>
              <w:lang w:val="en-US"/>
            </w:rPr>
          </w:pPr>
          <w:hyperlink w:anchor="_Toc351397577" w:history="1">
            <w:r w:rsidR="009A40E7" w:rsidRPr="009F4DD6">
              <w:rPr>
                <w:rStyle w:val="Hipervnculo"/>
                <w:noProof/>
              </w:rPr>
              <w:t>3.1 Política de Vivienda</w:t>
            </w:r>
            <w:r w:rsidR="009A40E7">
              <w:rPr>
                <w:noProof/>
                <w:webHidden/>
              </w:rPr>
              <w:tab/>
            </w:r>
            <w:r w:rsidR="009A40E7">
              <w:rPr>
                <w:noProof/>
                <w:webHidden/>
              </w:rPr>
              <w:fldChar w:fldCharType="begin"/>
            </w:r>
            <w:r w:rsidR="009A40E7">
              <w:rPr>
                <w:noProof/>
                <w:webHidden/>
              </w:rPr>
              <w:instrText xml:space="preserve"> PAGEREF _Toc351397577 \h </w:instrText>
            </w:r>
            <w:r w:rsidR="009A40E7">
              <w:rPr>
                <w:noProof/>
                <w:webHidden/>
              </w:rPr>
            </w:r>
            <w:r w:rsidR="009A40E7">
              <w:rPr>
                <w:noProof/>
                <w:webHidden/>
              </w:rPr>
              <w:fldChar w:fldCharType="separate"/>
            </w:r>
            <w:r w:rsidR="00DE4C4C">
              <w:rPr>
                <w:noProof/>
                <w:webHidden/>
              </w:rPr>
              <w:t>7</w:t>
            </w:r>
            <w:r w:rsidR="009A40E7">
              <w:rPr>
                <w:noProof/>
                <w:webHidden/>
              </w:rPr>
              <w:fldChar w:fldCharType="end"/>
            </w:r>
          </w:hyperlink>
        </w:p>
        <w:p w:rsidR="009A40E7" w:rsidRDefault="00EA15E2">
          <w:pPr>
            <w:pStyle w:val="TDC2"/>
            <w:tabs>
              <w:tab w:val="right" w:leader="dot" w:pos="8828"/>
            </w:tabs>
            <w:rPr>
              <w:rFonts w:eastAsiaTheme="minorEastAsia"/>
              <w:noProof/>
              <w:lang w:val="en-US"/>
            </w:rPr>
          </w:pPr>
          <w:hyperlink w:anchor="_Toc351397578" w:history="1">
            <w:r w:rsidR="009A40E7" w:rsidRPr="009F4DD6">
              <w:rPr>
                <w:rStyle w:val="Hipervnculo"/>
                <w:noProof/>
              </w:rPr>
              <w:t>3.2 Política energética</w:t>
            </w:r>
            <w:r w:rsidR="009A40E7">
              <w:rPr>
                <w:noProof/>
                <w:webHidden/>
              </w:rPr>
              <w:tab/>
            </w:r>
            <w:r w:rsidR="009A40E7">
              <w:rPr>
                <w:noProof/>
                <w:webHidden/>
              </w:rPr>
              <w:fldChar w:fldCharType="begin"/>
            </w:r>
            <w:r w:rsidR="009A40E7">
              <w:rPr>
                <w:noProof/>
                <w:webHidden/>
              </w:rPr>
              <w:instrText xml:space="preserve"> PAGEREF _Toc351397578 \h </w:instrText>
            </w:r>
            <w:r w:rsidR="009A40E7">
              <w:rPr>
                <w:noProof/>
                <w:webHidden/>
              </w:rPr>
            </w:r>
            <w:r w:rsidR="009A40E7">
              <w:rPr>
                <w:noProof/>
                <w:webHidden/>
              </w:rPr>
              <w:fldChar w:fldCharType="separate"/>
            </w:r>
            <w:r w:rsidR="00DE4C4C">
              <w:rPr>
                <w:noProof/>
                <w:webHidden/>
              </w:rPr>
              <w:t>8</w:t>
            </w:r>
            <w:r w:rsidR="009A40E7">
              <w:rPr>
                <w:noProof/>
                <w:webHidden/>
              </w:rPr>
              <w:fldChar w:fldCharType="end"/>
            </w:r>
          </w:hyperlink>
        </w:p>
        <w:p w:rsidR="009A40E7" w:rsidRDefault="00EA15E2">
          <w:pPr>
            <w:pStyle w:val="TDC2"/>
            <w:tabs>
              <w:tab w:val="right" w:leader="dot" w:pos="8828"/>
            </w:tabs>
            <w:rPr>
              <w:rFonts w:eastAsiaTheme="minorEastAsia"/>
              <w:noProof/>
              <w:lang w:val="en-US"/>
            </w:rPr>
          </w:pPr>
          <w:hyperlink w:anchor="_Toc351397579" w:history="1">
            <w:r w:rsidR="009A40E7" w:rsidRPr="009F4DD6">
              <w:rPr>
                <w:rStyle w:val="Hipervnculo"/>
                <w:noProof/>
              </w:rPr>
              <w:t>3.3 Política ambiental</w:t>
            </w:r>
            <w:r w:rsidR="009A40E7">
              <w:rPr>
                <w:noProof/>
                <w:webHidden/>
              </w:rPr>
              <w:tab/>
            </w:r>
            <w:r w:rsidR="009A40E7">
              <w:rPr>
                <w:noProof/>
                <w:webHidden/>
              </w:rPr>
              <w:fldChar w:fldCharType="begin"/>
            </w:r>
            <w:r w:rsidR="009A40E7">
              <w:rPr>
                <w:noProof/>
                <w:webHidden/>
              </w:rPr>
              <w:instrText xml:space="preserve"> PAGEREF _Toc351397579 \h </w:instrText>
            </w:r>
            <w:r w:rsidR="009A40E7">
              <w:rPr>
                <w:noProof/>
                <w:webHidden/>
              </w:rPr>
            </w:r>
            <w:r w:rsidR="009A40E7">
              <w:rPr>
                <w:noProof/>
                <w:webHidden/>
              </w:rPr>
              <w:fldChar w:fldCharType="separate"/>
            </w:r>
            <w:r w:rsidR="00DE4C4C">
              <w:rPr>
                <w:noProof/>
                <w:webHidden/>
              </w:rPr>
              <w:t>9</w:t>
            </w:r>
            <w:r w:rsidR="009A40E7">
              <w:rPr>
                <w:noProof/>
                <w:webHidden/>
              </w:rPr>
              <w:fldChar w:fldCharType="end"/>
            </w:r>
          </w:hyperlink>
        </w:p>
        <w:p w:rsidR="009A40E7" w:rsidRDefault="00EA15E2">
          <w:pPr>
            <w:pStyle w:val="TDC2"/>
            <w:tabs>
              <w:tab w:val="right" w:leader="dot" w:pos="8828"/>
            </w:tabs>
            <w:rPr>
              <w:rFonts w:eastAsiaTheme="minorEastAsia"/>
              <w:noProof/>
              <w:lang w:val="en-US"/>
            </w:rPr>
          </w:pPr>
          <w:hyperlink w:anchor="_Toc351397580" w:history="1">
            <w:r w:rsidR="009A40E7" w:rsidRPr="009F4DD6">
              <w:rPr>
                <w:rStyle w:val="Hipervnculo"/>
                <w:noProof/>
              </w:rPr>
              <w:t>3.4 Política de salud</w:t>
            </w:r>
            <w:r w:rsidR="009A40E7">
              <w:rPr>
                <w:noProof/>
                <w:webHidden/>
              </w:rPr>
              <w:tab/>
            </w:r>
            <w:r w:rsidR="009A40E7">
              <w:rPr>
                <w:noProof/>
                <w:webHidden/>
              </w:rPr>
              <w:fldChar w:fldCharType="begin"/>
            </w:r>
            <w:r w:rsidR="009A40E7">
              <w:rPr>
                <w:noProof/>
                <w:webHidden/>
              </w:rPr>
              <w:instrText xml:space="preserve"> PAGEREF _Toc351397580 \h </w:instrText>
            </w:r>
            <w:r w:rsidR="009A40E7">
              <w:rPr>
                <w:noProof/>
                <w:webHidden/>
              </w:rPr>
            </w:r>
            <w:r w:rsidR="009A40E7">
              <w:rPr>
                <w:noProof/>
                <w:webHidden/>
              </w:rPr>
              <w:fldChar w:fldCharType="separate"/>
            </w:r>
            <w:r w:rsidR="00DE4C4C">
              <w:rPr>
                <w:noProof/>
                <w:webHidden/>
              </w:rPr>
              <w:t>9</w:t>
            </w:r>
            <w:r w:rsidR="009A40E7">
              <w:rPr>
                <w:noProof/>
                <w:webHidden/>
              </w:rPr>
              <w:fldChar w:fldCharType="end"/>
            </w:r>
          </w:hyperlink>
        </w:p>
        <w:p w:rsidR="009A40E7" w:rsidRDefault="00EA15E2">
          <w:pPr>
            <w:pStyle w:val="TDC2"/>
            <w:tabs>
              <w:tab w:val="right" w:leader="dot" w:pos="8828"/>
            </w:tabs>
            <w:rPr>
              <w:rFonts w:eastAsiaTheme="minorEastAsia"/>
              <w:noProof/>
              <w:lang w:val="en-US"/>
            </w:rPr>
          </w:pPr>
          <w:hyperlink w:anchor="_Toc351397581" w:history="1">
            <w:r w:rsidR="009A40E7" w:rsidRPr="009F4DD6">
              <w:rPr>
                <w:rStyle w:val="Hipervnculo"/>
                <w:noProof/>
              </w:rPr>
              <w:t>3.5 Política económica</w:t>
            </w:r>
            <w:r w:rsidR="009A40E7">
              <w:rPr>
                <w:noProof/>
                <w:webHidden/>
              </w:rPr>
              <w:tab/>
            </w:r>
            <w:r w:rsidR="009A40E7">
              <w:rPr>
                <w:noProof/>
                <w:webHidden/>
              </w:rPr>
              <w:fldChar w:fldCharType="begin"/>
            </w:r>
            <w:r w:rsidR="009A40E7">
              <w:rPr>
                <w:noProof/>
                <w:webHidden/>
              </w:rPr>
              <w:instrText xml:space="preserve"> PAGEREF _Toc351397581 \h </w:instrText>
            </w:r>
            <w:r w:rsidR="009A40E7">
              <w:rPr>
                <w:noProof/>
                <w:webHidden/>
              </w:rPr>
            </w:r>
            <w:r w:rsidR="009A40E7">
              <w:rPr>
                <w:noProof/>
                <w:webHidden/>
              </w:rPr>
              <w:fldChar w:fldCharType="separate"/>
            </w:r>
            <w:r w:rsidR="00DE4C4C">
              <w:rPr>
                <w:noProof/>
                <w:webHidden/>
              </w:rPr>
              <w:t>9</w:t>
            </w:r>
            <w:r w:rsidR="009A40E7">
              <w:rPr>
                <w:noProof/>
                <w:webHidden/>
              </w:rPr>
              <w:fldChar w:fldCharType="end"/>
            </w:r>
          </w:hyperlink>
        </w:p>
        <w:p w:rsidR="009A40E7" w:rsidRDefault="00EA15E2">
          <w:pPr>
            <w:pStyle w:val="TDC1"/>
            <w:tabs>
              <w:tab w:val="left" w:pos="440"/>
              <w:tab w:val="right" w:leader="dot" w:pos="8828"/>
            </w:tabs>
            <w:rPr>
              <w:rFonts w:eastAsiaTheme="minorEastAsia"/>
              <w:noProof/>
              <w:lang w:val="en-US"/>
            </w:rPr>
          </w:pPr>
          <w:hyperlink w:anchor="_Toc351397582" w:history="1">
            <w:r w:rsidR="009A40E7" w:rsidRPr="009F4DD6">
              <w:rPr>
                <w:rStyle w:val="Hipervnculo"/>
                <w:noProof/>
              </w:rPr>
              <w:t>4.</w:t>
            </w:r>
            <w:r w:rsidR="009A40E7">
              <w:rPr>
                <w:rFonts w:eastAsiaTheme="minorEastAsia"/>
                <w:noProof/>
                <w:lang w:val="en-US"/>
              </w:rPr>
              <w:tab/>
            </w:r>
            <w:r w:rsidR="009A40E7" w:rsidRPr="009F4DD6">
              <w:rPr>
                <w:rStyle w:val="Hipervnculo"/>
                <w:noProof/>
              </w:rPr>
              <w:t>Información de referencia para la definición cuantitativa de co-beneficios</w:t>
            </w:r>
            <w:r w:rsidR="009A40E7">
              <w:rPr>
                <w:noProof/>
                <w:webHidden/>
              </w:rPr>
              <w:tab/>
            </w:r>
            <w:r w:rsidR="009A40E7">
              <w:rPr>
                <w:noProof/>
                <w:webHidden/>
              </w:rPr>
              <w:fldChar w:fldCharType="begin"/>
            </w:r>
            <w:r w:rsidR="009A40E7">
              <w:rPr>
                <w:noProof/>
                <w:webHidden/>
              </w:rPr>
              <w:instrText xml:space="preserve"> PAGEREF _Toc351397582 \h </w:instrText>
            </w:r>
            <w:r w:rsidR="009A40E7">
              <w:rPr>
                <w:noProof/>
                <w:webHidden/>
              </w:rPr>
            </w:r>
            <w:r w:rsidR="009A40E7">
              <w:rPr>
                <w:noProof/>
                <w:webHidden/>
              </w:rPr>
              <w:fldChar w:fldCharType="separate"/>
            </w:r>
            <w:r w:rsidR="00DE4C4C">
              <w:rPr>
                <w:noProof/>
                <w:webHidden/>
              </w:rPr>
              <w:t>10</w:t>
            </w:r>
            <w:r w:rsidR="009A40E7">
              <w:rPr>
                <w:noProof/>
                <w:webHidden/>
              </w:rPr>
              <w:fldChar w:fldCharType="end"/>
            </w:r>
          </w:hyperlink>
        </w:p>
        <w:p w:rsidR="009A40E7" w:rsidRDefault="00EA15E2">
          <w:pPr>
            <w:pStyle w:val="TDC2"/>
            <w:tabs>
              <w:tab w:val="right" w:leader="dot" w:pos="8828"/>
            </w:tabs>
            <w:rPr>
              <w:rFonts w:eastAsiaTheme="minorEastAsia"/>
              <w:noProof/>
              <w:lang w:val="en-US"/>
            </w:rPr>
          </w:pPr>
          <w:hyperlink w:anchor="_Toc351397583" w:history="1">
            <w:r w:rsidR="009A40E7" w:rsidRPr="009F4DD6">
              <w:rPr>
                <w:rStyle w:val="Hipervnculo"/>
                <w:noProof/>
              </w:rPr>
              <w:t>4.1 Vivienda</w:t>
            </w:r>
            <w:r w:rsidR="009A40E7">
              <w:rPr>
                <w:noProof/>
                <w:webHidden/>
              </w:rPr>
              <w:tab/>
            </w:r>
            <w:r w:rsidR="009A40E7">
              <w:rPr>
                <w:noProof/>
                <w:webHidden/>
              </w:rPr>
              <w:fldChar w:fldCharType="begin"/>
            </w:r>
            <w:r w:rsidR="009A40E7">
              <w:rPr>
                <w:noProof/>
                <w:webHidden/>
              </w:rPr>
              <w:instrText xml:space="preserve"> PAGEREF _Toc351397583 \h </w:instrText>
            </w:r>
            <w:r w:rsidR="009A40E7">
              <w:rPr>
                <w:noProof/>
                <w:webHidden/>
              </w:rPr>
            </w:r>
            <w:r w:rsidR="009A40E7">
              <w:rPr>
                <w:noProof/>
                <w:webHidden/>
              </w:rPr>
              <w:fldChar w:fldCharType="separate"/>
            </w:r>
            <w:r w:rsidR="00DE4C4C">
              <w:rPr>
                <w:noProof/>
                <w:webHidden/>
              </w:rPr>
              <w:t>10</w:t>
            </w:r>
            <w:r w:rsidR="009A40E7">
              <w:rPr>
                <w:noProof/>
                <w:webHidden/>
              </w:rPr>
              <w:fldChar w:fldCharType="end"/>
            </w:r>
          </w:hyperlink>
        </w:p>
        <w:p w:rsidR="009A40E7" w:rsidRDefault="00EA15E2">
          <w:pPr>
            <w:pStyle w:val="TDC3"/>
            <w:tabs>
              <w:tab w:val="right" w:leader="dot" w:pos="8828"/>
            </w:tabs>
            <w:rPr>
              <w:rFonts w:eastAsiaTheme="minorEastAsia"/>
              <w:noProof/>
              <w:lang w:val="en-US"/>
            </w:rPr>
          </w:pPr>
          <w:hyperlink w:anchor="_Toc351397584" w:history="1">
            <w:r w:rsidR="009A40E7" w:rsidRPr="009F4DD6">
              <w:rPr>
                <w:rStyle w:val="Hipervnculo"/>
                <w:noProof/>
              </w:rPr>
              <w:t>4.1.1 Tamaño</w:t>
            </w:r>
            <w:r w:rsidR="009A40E7">
              <w:rPr>
                <w:noProof/>
                <w:webHidden/>
              </w:rPr>
              <w:tab/>
            </w:r>
            <w:r w:rsidR="009A40E7">
              <w:rPr>
                <w:noProof/>
                <w:webHidden/>
              </w:rPr>
              <w:fldChar w:fldCharType="begin"/>
            </w:r>
            <w:r w:rsidR="009A40E7">
              <w:rPr>
                <w:noProof/>
                <w:webHidden/>
              </w:rPr>
              <w:instrText xml:space="preserve"> PAGEREF _Toc351397584 \h </w:instrText>
            </w:r>
            <w:r w:rsidR="009A40E7">
              <w:rPr>
                <w:noProof/>
                <w:webHidden/>
              </w:rPr>
            </w:r>
            <w:r w:rsidR="009A40E7">
              <w:rPr>
                <w:noProof/>
                <w:webHidden/>
              </w:rPr>
              <w:fldChar w:fldCharType="separate"/>
            </w:r>
            <w:r w:rsidR="00DE4C4C">
              <w:rPr>
                <w:noProof/>
                <w:webHidden/>
              </w:rPr>
              <w:t>10</w:t>
            </w:r>
            <w:r w:rsidR="009A40E7">
              <w:rPr>
                <w:noProof/>
                <w:webHidden/>
              </w:rPr>
              <w:fldChar w:fldCharType="end"/>
            </w:r>
          </w:hyperlink>
        </w:p>
        <w:p w:rsidR="009A40E7" w:rsidRDefault="00EA15E2">
          <w:pPr>
            <w:pStyle w:val="TDC3"/>
            <w:tabs>
              <w:tab w:val="right" w:leader="dot" w:pos="8828"/>
            </w:tabs>
            <w:rPr>
              <w:rFonts w:eastAsiaTheme="minorEastAsia"/>
              <w:noProof/>
              <w:lang w:val="en-US"/>
            </w:rPr>
          </w:pPr>
          <w:hyperlink w:anchor="_Toc351397585" w:history="1">
            <w:r w:rsidR="009A40E7" w:rsidRPr="009F4DD6">
              <w:rPr>
                <w:rStyle w:val="Hipervnculo"/>
                <w:noProof/>
              </w:rPr>
              <w:t>4.1.2 Tendencias</w:t>
            </w:r>
            <w:r w:rsidR="009A40E7">
              <w:rPr>
                <w:noProof/>
                <w:webHidden/>
              </w:rPr>
              <w:tab/>
            </w:r>
            <w:r w:rsidR="009A40E7">
              <w:rPr>
                <w:noProof/>
                <w:webHidden/>
              </w:rPr>
              <w:fldChar w:fldCharType="begin"/>
            </w:r>
            <w:r w:rsidR="009A40E7">
              <w:rPr>
                <w:noProof/>
                <w:webHidden/>
              </w:rPr>
              <w:instrText xml:space="preserve"> PAGEREF _Toc351397585 \h </w:instrText>
            </w:r>
            <w:r w:rsidR="009A40E7">
              <w:rPr>
                <w:noProof/>
                <w:webHidden/>
              </w:rPr>
            </w:r>
            <w:r w:rsidR="009A40E7">
              <w:rPr>
                <w:noProof/>
                <w:webHidden/>
              </w:rPr>
              <w:fldChar w:fldCharType="separate"/>
            </w:r>
            <w:r w:rsidR="00DE4C4C">
              <w:rPr>
                <w:noProof/>
                <w:webHidden/>
              </w:rPr>
              <w:t>10</w:t>
            </w:r>
            <w:r w:rsidR="009A40E7">
              <w:rPr>
                <w:noProof/>
                <w:webHidden/>
              </w:rPr>
              <w:fldChar w:fldCharType="end"/>
            </w:r>
          </w:hyperlink>
        </w:p>
        <w:p w:rsidR="009A40E7" w:rsidRDefault="00EA15E2">
          <w:pPr>
            <w:pStyle w:val="TDC3"/>
            <w:tabs>
              <w:tab w:val="right" w:leader="dot" w:pos="8828"/>
            </w:tabs>
            <w:rPr>
              <w:rFonts w:eastAsiaTheme="minorEastAsia"/>
              <w:noProof/>
              <w:lang w:val="en-US"/>
            </w:rPr>
          </w:pPr>
          <w:hyperlink w:anchor="_Toc351397586" w:history="1">
            <w:r w:rsidR="009A40E7" w:rsidRPr="009F4DD6">
              <w:rPr>
                <w:rStyle w:val="Hipervnculo"/>
                <w:noProof/>
              </w:rPr>
              <w:t>4.1.3 Regionalización</w:t>
            </w:r>
            <w:r w:rsidR="009A40E7">
              <w:rPr>
                <w:noProof/>
                <w:webHidden/>
              </w:rPr>
              <w:tab/>
            </w:r>
            <w:r w:rsidR="009A40E7">
              <w:rPr>
                <w:noProof/>
                <w:webHidden/>
              </w:rPr>
              <w:fldChar w:fldCharType="begin"/>
            </w:r>
            <w:r w:rsidR="009A40E7">
              <w:rPr>
                <w:noProof/>
                <w:webHidden/>
              </w:rPr>
              <w:instrText xml:space="preserve"> PAGEREF _Toc351397586 \h </w:instrText>
            </w:r>
            <w:r w:rsidR="009A40E7">
              <w:rPr>
                <w:noProof/>
                <w:webHidden/>
              </w:rPr>
            </w:r>
            <w:r w:rsidR="009A40E7">
              <w:rPr>
                <w:noProof/>
                <w:webHidden/>
              </w:rPr>
              <w:fldChar w:fldCharType="separate"/>
            </w:r>
            <w:r w:rsidR="00DE4C4C">
              <w:rPr>
                <w:noProof/>
                <w:webHidden/>
              </w:rPr>
              <w:t>11</w:t>
            </w:r>
            <w:r w:rsidR="009A40E7">
              <w:rPr>
                <w:noProof/>
                <w:webHidden/>
              </w:rPr>
              <w:fldChar w:fldCharType="end"/>
            </w:r>
          </w:hyperlink>
        </w:p>
        <w:p w:rsidR="009A40E7" w:rsidRDefault="00EA15E2">
          <w:pPr>
            <w:pStyle w:val="TDC3"/>
            <w:tabs>
              <w:tab w:val="right" w:leader="dot" w:pos="8828"/>
            </w:tabs>
            <w:rPr>
              <w:rFonts w:eastAsiaTheme="minorEastAsia"/>
              <w:noProof/>
              <w:lang w:val="en-US"/>
            </w:rPr>
          </w:pPr>
          <w:hyperlink w:anchor="_Toc351397587" w:history="1">
            <w:r w:rsidR="009A40E7" w:rsidRPr="009F4DD6">
              <w:rPr>
                <w:rStyle w:val="Hipervnculo"/>
                <w:noProof/>
              </w:rPr>
              <w:t>4.1.4 Ingreso/gasto</w:t>
            </w:r>
            <w:r w:rsidR="009A40E7">
              <w:rPr>
                <w:noProof/>
                <w:webHidden/>
              </w:rPr>
              <w:tab/>
            </w:r>
            <w:r w:rsidR="009A40E7">
              <w:rPr>
                <w:noProof/>
                <w:webHidden/>
              </w:rPr>
              <w:fldChar w:fldCharType="begin"/>
            </w:r>
            <w:r w:rsidR="009A40E7">
              <w:rPr>
                <w:noProof/>
                <w:webHidden/>
              </w:rPr>
              <w:instrText xml:space="preserve"> PAGEREF _Toc351397587 \h </w:instrText>
            </w:r>
            <w:r w:rsidR="009A40E7">
              <w:rPr>
                <w:noProof/>
                <w:webHidden/>
              </w:rPr>
            </w:r>
            <w:r w:rsidR="009A40E7">
              <w:rPr>
                <w:noProof/>
                <w:webHidden/>
              </w:rPr>
              <w:fldChar w:fldCharType="separate"/>
            </w:r>
            <w:r w:rsidR="00DE4C4C">
              <w:rPr>
                <w:noProof/>
                <w:webHidden/>
              </w:rPr>
              <w:t>11</w:t>
            </w:r>
            <w:r w:rsidR="009A40E7">
              <w:rPr>
                <w:noProof/>
                <w:webHidden/>
              </w:rPr>
              <w:fldChar w:fldCharType="end"/>
            </w:r>
          </w:hyperlink>
        </w:p>
        <w:p w:rsidR="009A40E7" w:rsidRDefault="00EA15E2">
          <w:pPr>
            <w:pStyle w:val="TDC3"/>
            <w:tabs>
              <w:tab w:val="right" w:leader="dot" w:pos="8828"/>
            </w:tabs>
            <w:rPr>
              <w:rFonts w:eastAsiaTheme="minorEastAsia"/>
              <w:noProof/>
              <w:lang w:val="en-US"/>
            </w:rPr>
          </w:pPr>
          <w:hyperlink w:anchor="_Toc351397588" w:history="1">
            <w:r w:rsidR="009A40E7" w:rsidRPr="009F4DD6">
              <w:rPr>
                <w:rStyle w:val="Hipervnculo"/>
                <w:noProof/>
              </w:rPr>
              <w:t>4.1.5 Equipamiento considerado</w:t>
            </w:r>
            <w:r w:rsidR="009A40E7">
              <w:rPr>
                <w:noProof/>
                <w:webHidden/>
              </w:rPr>
              <w:tab/>
            </w:r>
            <w:r w:rsidR="009A40E7">
              <w:rPr>
                <w:noProof/>
                <w:webHidden/>
              </w:rPr>
              <w:fldChar w:fldCharType="begin"/>
            </w:r>
            <w:r w:rsidR="009A40E7">
              <w:rPr>
                <w:noProof/>
                <w:webHidden/>
              </w:rPr>
              <w:instrText xml:space="preserve"> PAGEREF _Toc351397588 \h </w:instrText>
            </w:r>
            <w:r w:rsidR="009A40E7">
              <w:rPr>
                <w:noProof/>
                <w:webHidden/>
              </w:rPr>
            </w:r>
            <w:r w:rsidR="009A40E7">
              <w:rPr>
                <w:noProof/>
                <w:webHidden/>
              </w:rPr>
              <w:fldChar w:fldCharType="separate"/>
            </w:r>
            <w:r w:rsidR="00DE4C4C">
              <w:rPr>
                <w:noProof/>
                <w:webHidden/>
              </w:rPr>
              <w:t>13</w:t>
            </w:r>
            <w:r w:rsidR="009A40E7">
              <w:rPr>
                <w:noProof/>
                <w:webHidden/>
              </w:rPr>
              <w:fldChar w:fldCharType="end"/>
            </w:r>
          </w:hyperlink>
        </w:p>
        <w:p w:rsidR="009A40E7" w:rsidRDefault="00EA15E2">
          <w:pPr>
            <w:pStyle w:val="TDC3"/>
            <w:tabs>
              <w:tab w:val="right" w:leader="dot" w:pos="8828"/>
            </w:tabs>
            <w:rPr>
              <w:rFonts w:eastAsiaTheme="minorEastAsia"/>
              <w:noProof/>
              <w:lang w:val="en-US"/>
            </w:rPr>
          </w:pPr>
          <w:hyperlink w:anchor="_Toc351397589" w:history="1">
            <w:r w:rsidR="009A40E7" w:rsidRPr="009F4DD6">
              <w:rPr>
                <w:rStyle w:val="Hipervnculo"/>
                <w:noProof/>
              </w:rPr>
              <w:t>4.1.6 Electrodomésticos</w:t>
            </w:r>
            <w:r w:rsidR="009A40E7">
              <w:rPr>
                <w:noProof/>
                <w:webHidden/>
              </w:rPr>
              <w:tab/>
            </w:r>
            <w:r w:rsidR="009A40E7">
              <w:rPr>
                <w:noProof/>
                <w:webHidden/>
              </w:rPr>
              <w:fldChar w:fldCharType="begin"/>
            </w:r>
            <w:r w:rsidR="009A40E7">
              <w:rPr>
                <w:noProof/>
                <w:webHidden/>
              </w:rPr>
              <w:instrText xml:space="preserve"> PAGEREF _Toc351397589 \h </w:instrText>
            </w:r>
            <w:r w:rsidR="009A40E7">
              <w:rPr>
                <w:noProof/>
                <w:webHidden/>
              </w:rPr>
            </w:r>
            <w:r w:rsidR="009A40E7">
              <w:rPr>
                <w:noProof/>
                <w:webHidden/>
              </w:rPr>
              <w:fldChar w:fldCharType="separate"/>
            </w:r>
            <w:r w:rsidR="00DE4C4C">
              <w:rPr>
                <w:noProof/>
                <w:webHidden/>
              </w:rPr>
              <w:t>13</w:t>
            </w:r>
            <w:r w:rsidR="009A40E7">
              <w:rPr>
                <w:noProof/>
                <w:webHidden/>
              </w:rPr>
              <w:fldChar w:fldCharType="end"/>
            </w:r>
          </w:hyperlink>
        </w:p>
        <w:p w:rsidR="009A40E7" w:rsidRDefault="00EA15E2">
          <w:pPr>
            <w:pStyle w:val="TDC2"/>
            <w:tabs>
              <w:tab w:val="left" w:pos="880"/>
              <w:tab w:val="right" w:leader="dot" w:pos="8828"/>
            </w:tabs>
            <w:rPr>
              <w:rFonts w:eastAsiaTheme="minorEastAsia"/>
              <w:noProof/>
              <w:lang w:val="en-US"/>
            </w:rPr>
          </w:pPr>
          <w:hyperlink w:anchor="_Toc351397590" w:history="1">
            <w:r w:rsidR="009A40E7" w:rsidRPr="009F4DD6">
              <w:rPr>
                <w:rStyle w:val="Hipervnculo"/>
                <w:noProof/>
              </w:rPr>
              <w:t>4.2</w:t>
            </w:r>
            <w:r w:rsidR="009A40E7">
              <w:rPr>
                <w:rFonts w:eastAsiaTheme="minorEastAsia"/>
                <w:noProof/>
                <w:lang w:val="en-US"/>
              </w:rPr>
              <w:tab/>
            </w:r>
            <w:r w:rsidR="009A40E7" w:rsidRPr="009F4DD6">
              <w:rPr>
                <w:rStyle w:val="Hipervnculo"/>
                <w:noProof/>
              </w:rPr>
              <w:t>Energía</w:t>
            </w:r>
            <w:r w:rsidR="009A40E7">
              <w:rPr>
                <w:noProof/>
                <w:webHidden/>
              </w:rPr>
              <w:tab/>
            </w:r>
            <w:r w:rsidR="009A40E7">
              <w:rPr>
                <w:noProof/>
                <w:webHidden/>
              </w:rPr>
              <w:fldChar w:fldCharType="begin"/>
            </w:r>
            <w:r w:rsidR="009A40E7">
              <w:rPr>
                <w:noProof/>
                <w:webHidden/>
              </w:rPr>
              <w:instrText xml:space="preserve"> PAGEREF _Toc351397590 \h </w:instrText>
            </w:r>
            <w:r w:rsidR="009A40E7">
              <w:rPr>
                <w:noProof/>
                <w:webHidden/>
              </w:rPr>
            </w:r>
            <w:r w:rsidR="009A40E7">
              <w:rPr>
                <w:noProof/>
                <w:webHidden/>
              </w:rPr>
              <w:fldChar w:fldCharType="separate"/>
            </w:r>
            <w:r w:rsidR="00DE4C4C">
              <w:rPr>
                <w:noProof/>
                <w:webHidden/>
              </w:rPr>
              <w:t>14</w:t>
            </w:r>
            <w:r w:rsidR="009A40E7">
              <w:rPr>
                <w:noProof/>
                <w:webHidden/>
              </w:rPr>
              <w:fldChar w:fldCharType="end"/>
            </w:r>
          </w:hyperlink>
        </w:p>
        <w:p w:rsidR="009A40E7" w:rsidRDefault="00EA15E2">
          <w:pPr>
            <w:pStyle w:val="TDC3"/>
            <w:tabs>
              <w:tab w:val="right" w:leader="dot" w:pos="8828"/>
            </w:tabs>
            <w:rPr>
              <w:rFonts w:eastAsiaTheme="minorEastAsia"/>
              <w:noProof/>
              <w:lang w:val="en-US"/>
            </w:rPr>
          </w:pPr>
          <w:hyperlink w:anchor="_Toc351397591" w:history="1">
            <w:r w:rsidR="009A40E7" w:rsidRPr="009F4DD6">
              <w:rPr>
                <w:rStyle w:val="Hipervnculo"/>
                <w:noProof/>
              </w:rPr>
              <w:t>4.2.1 Generación de electricidad</w:t>
            </w:r>
            <w:r w:rsidR="009A40E7">
              <w:rPr>
                <w:noProof/>
                <w:webHidden/>
              </w:rPr>
              <w:tab/>
            </w:r>
            <w:r w:rsidR="009A40E7">
              <w:rPr>
                <w:noProof/>
                <w:webHidden/>
              </w:rPr>
              <w:fldChar w:fldCharType="begin"/>
            </w:r>
            <w:r w:rsidR="009A40E7">
              <w:rPr>
                <w:noProof/>
                <w:webHidden/>
              </w:rPr>
              <w:instrText xml:space="preserve"> PAGEREF _Toc351397591 \h </w:instrText>
            </w:r>
            <w:r w:rsidR="009A40E7">
              <w:rPr>
                <w:noProof/>
                <w:webHidden/>
              </w:rPr>
            </w:r>
            <w:r w:rsidR="009A40E7">
              <w:rPr>
                <w:noProof/>
                <w:webHidden/>
              </w:rPr>
              <w:fldChar w:fldCharType="separate"/>
            </w:r>
            <w:r w:rsidR="00DE4C4C">
              <w:rPr>
                <w:noProof/>
                <w:webHidden/>
              </w:rPr>
              <w:t>14</w:t>
            </w:r>
            <w:r w:rsidR="009A40E7">
              <w:rPr>
                <w:noProof/>
                <w:webHidden/>
              </w:rPr>
              <w:fldChar w:fldCharType="end"/>
            </w:r>
          </w:hyperlink>
        </w:p>
        <w:p w:rsidR="009A40E7" w:rsidRDefault="00EA15E2">
          <w:pPr>
            <w:pStyle w:val="TDC3"/>
            <w:tabs>
              <w:tab w:val="right" w:leader="dot" w:pos="8828"/>
            </w:tabs>
            <w:rPr>
              <w:rFonts w:eastAsiaTheme="minorEastAsia"/>
              <w:noProof/>
              <w:lang w:val="en-US"/>
            </w:rPr>
          </w:pPr>
          <w:hyperlink w:anchor="_Toc351397592" w:history="1">
            <w:r w:rsidR="009A40E7" w:rsidRPr="009F4DD6">
              <w:rPr>
                <w:rStyle w:val="Hipervnculo"/>
                <w:noProof/>
              </w:rPr>
              <w:t>4.2.2 Energéticos en sector residencial</w:t>
            </w:r>
            <w:r w:rsidR="009A40E7">
              <w:rPr>
                <w:noProof/>
                <w:webHidden/>
              </w:rPr>
              <w:tab/>
            </w:r>
            <w:r w:rsidR="009A40E7">
              <w:rPr>
                <w:noProof/>
                <w:webHidden/>
              </w:rPr>
              <w:fldChar w:fldCharType="begin"/>
            </w:r>
            <w:r w:rsidR="009A40E7">
              <w:rPr>
                <w:noProof/>
                <w:webHidden/>
              </w:rPr>
              <w:instrText xml:space="preserve"> PAGEREF _Toc351397592 \h </w:instrText>
            </w:r>
            <w:r w:rsidR="009A40E7">
              <w:rPr>
                <w:noProof/>
                <w:webHidden/>
              </w:rPr>
            </w:r>
            <w:r w:rsidR="009A40E7">
              <w:rPr>
                <w:noProof/>
                <w:webHidden/>
              </w:rPr>
              <w:fldChar w:fldCharType="separate"/>
            </w:r>
            <w:r w:rsidR="00DE4C4C">
              <w:rPr>
                <w:noProof/>
                <w:webHidden/>
              </w:rPr>
              <w:t>14</w:t>
            </w:r>
            <w:r w:rsidR="009A40E7">
              <w:rPr>
                <w:noProof/>
                <w:webHidden/>
              </w:rPr>
              <w:fldChar w:fldCharType="end"/>
            </w:r>
          </w:hyperlink>
        </w:p>
        <w:p w:rsidR="009A40E7" w:rsidRDefault="00EA15E2">
          <w:pPr>
            <w:pStyle w:val="TDC3"/>
            <w:tabs>
              <w:tab w:val="right" w:leader="dot" w:pos="8828"/>
            </w:tabs>
            <w:rPr>
              <w:rFonts w:eastAsiaTheme="minorEastAsia"/>
              <w:noProof/>
              <w:lang w:val="en-US"/>
            </w:rPr>
          </w:pPr>
          <w:hyperlink w:anchor="_Toc351397593" w:history="1">
            <w:r w:rsidR="009A40E7" w:rsidRPr="009F4DD6">
              <w:rPr>
                <w:rStyle w:val="Hipervnculo"/>
                <w:noProof/>
              </w:rPr>
              <w:t>4.2.3 Precios de los energéticos</w:t>
            </w:r>
            <w:r w:rsidR="009A40E7">
              <w:rPr>
                <w:noProof/>
                <w:webHidden/>
              </w:rPr>
              <w:tab/>
            </w:r>
            <w:r w:rsidR="009A40E7">
              <w:rPr>
                <w:noProof/>
                <w:webHidden/>
              </w:rPr>
              <w:fldChar w:fldCharType="begin"/>
            </w:r>
            <w:r w:rsidR="009A40E7">
              <w:rPr>
                <w:noProof/>
                <w:webHidden/>
              </w:rPr>
              <w:instrText xml:space="preserve"> PAGEREF _Toc351397593 \h </w:instrText>
            </w:r>
            <w:r w:rsidR="009A40E7">
              <w:rPr>
                <w:noProof/>
                <w:webHidden/>
              </w:rPr>
            </w:r>
            <w:r w:rsidR="009A40E7">
              <w:rPr>
                <w:noProof/>
                <w:webHidden/>
              </w:rPr>
              <w:fldChar w:fldCharType="separate"/>
            </w:r>
            <w:r w:rsidR="00DE4C4C">
              <w:rPr>
                <w:noProof/>
                <w:webHidden/>
              </w:rPr>
              <w:t>17</w:t>
            </w:r>
            <w:r w:rsidR="009A40E7">
              <w:rPr>
                <w:noProof/>
                <w:webHidden/>
              </w:rPr>
              <w:fldChar w:fldCharType="end"/>
            </w:r>
          </w:hyperlink>
        </w:p>
        <w:p w:rsidR="009A40E7" w:rsidRDefault="00EA15E2">
          <w:pPr>
            <w:pStyle w:val="TDC3"/>
            <w:tabs>
              <w:tab w:val="right" w:leader="dot" w:pos="8828"/>
            </w:tabs>
            <w:rPr>
              <w:rFonts w:eastAsiaTheme="minorEastAsia"/>
              <w:noProof/>
              <w:lang w:val="en-US"/>
            </w:rPr>
          </w:pPr>
          <w:hyperlink w:anchor="_Toc351397594" w:history="1">
            <w:r w:rsidR="009A40E7" w:rsidRPr="009F4DD6">
              <w:rPr>
                <w:rStyle w:val="Hipervnculo"/>
                <w:noProof/>
              </w:rPr>
              <w:t>4.2.4 Subsidios</w:t>
            </w:r>
            <w:r w:rsidR="009A40E7">
              <w:rPr>
                <w:noProof/>
                <w:webHidden/>
              </w:rPr>
              <w:tab/>
            </w:r>
            <w:r w:rsidR="009A40E7">
              <w:rPr>
                <w:noProof/>
                <w:webHidden/>
              </w:rPr>
              <w:fldChar w:fldCharType="begin"/>
            </w:r>
            <w:r w:rsidR="009A40E7">
              <w:rPr>
                <w:noProof/>
                <w:webHidden/>
              </w:rPr>
              <w:instrText xml:space="preserve"> PAGEREF _Toc351397594 \h </w:instrText>
            </w:r>
            <w:r w:rsidR="009A40E7">
              <w:rPr>
                <w:noProof/>
                <w:webHidden/>
              </w:rPr>
            </w:r>
            <w:r w:rsidR="009A40E7">
              <w:rPr>
                <w:noProof/>
                <w:webHidden/>
              </w:rPr>
              <w:fldChar w:fldCharType="separate"/>
            </w:r>
            <w:r w:rsidR="00DE4C4C">
              <w:rPr>
                <w:noProof/>
                <w:webHidden/>
              </w:rPr>
              <w:t>17</w:t>
            </w:r>
            <w:r w:rsidR="009A40E7">
              <w:rPr>
                <w:noProof/>
                <w:webHidden/>
              </w:rPr>
              <w:fldChar w:fldCharType="end"/>
            </w:r>
          </w:hyperlink>
        </w:p>
        <w:p w:rsidR="009A40E7" w:rsidRDefault="00EA15E2">
          <w:pPr>
            <w:pStyle w:val="TDC3"/>
            <w:tabs>
              <w:tab w:val="right" w:leader="dot" w:pos="8828"/>
            </w:tabs>
            <w:rPr>
              <w:rFonts w:eastAsiaTheme="minorEastAsia"/>
              <w:noProof/>
              <w:lang w:val="en-US"/>
            </w:rPr>
          </w:pPr>
          <w:hyperlink w:anchor="_Toc351397595" w:history="1">
            <w:r w:rsidR="009A40E7" w:rsidRPr="009F4DD6">
              <w:rPr>
                <w:rStyle w:val="Hipervnculo"/>
                <w:noProof/>
              </w:rPr>
              <w:t>4.2.5 Tendencias de crecimiento</w:t>
            </w:r>
            <w:r w:rsidR="009A40E7">
              <w:rPr>
                <w:noProof/>
                <w:webHidden/>
              </w:rPr>
              <w:tab/>
            </w:r>
            <w:r w:rsidR="009A40E7">
              <w:rPr>
                <w:noProof/>
                <w:webHidden/>
              </w:rPr>
              <w:fldChar w:fldCharType="begin"/>
            </w:r>
            <w:r w:rsidR="009A40E7">
              <w:rPr>
                <w:noProof/>
                <w:webHidden/>
              </w:rPr>
              <w:instrText xml:space="preserve"> PAGEREF _Toc351397595 \h </w:instrText>
            </w:r>
            <w:r w:rsidR="009A40E7">
              <w:rPr>
                <w:noProof/>
                <w:webHidden/>
              </w:rPr>
            </w:r>
            <w:r w:rsidR="009A40E7">
              <w:rPr>
                <w:noProof/>
                <w:webHidden/>
              </w:rPr>
              <w:fldChar w:fldCharType="separate"/>
            </w:r>
            <w:r w:rsidR="00DE4C4C">
              <w:rPr>
                <w:noProof/>
                <w:webHidden/>
              </w:rPr>
              <w:t>17</w:t>
            </w:r>
            <w:r w:rsidR="009A40E7">
              <w:rPr>
                <w:noProof/>
                <w:webHidden/>
              </w:rPr>
              <w:fldChar w:fldCharType="end"/>
            </w:r>
          </w:hyperlink>
        </w:p>
        <w:p w:rsidR="009A40E7" w:rsidRDefault="00EA15E2">
          <w:pPr>
            <w:pStyle w:val="TDC2"/>
            <w:tabs>
              <w:tab w:val="left" w:pos="880"/>
              <w:tab w:val="right" w:leader="dot" w:pos="8828"/>
            </w:tabs>
            <w:rPr>
              <w:rFonts w:eastAsiaTheme="minorEastAsia"/>
              <w:noProof/>
              <w:lang w:val="en-US"/>
            </w:rPr>
          </w:pPr>
          <w:hyperlink w:anchor="_Toc351397596" w:history="1">
            <w:r w:rsidR="009A40E7" w:rsidRPr="009F4DD6">
              <w:rPr>
                <w:rStyle w:val="Hipervnculo"/>
                <w:noProof/>
              </w:rPr>
              <w:t>4.3</w:t>
            </w:r>
            <w:r w:rsidR="009A40E7">
              <w:rPr>
                <w:rFonts w:eastAsiaTheme="minorEastAsia"/>
                <w:noProof/>
                <w:lang w:val="en-US"/>
              </w:rPr>
              <w:tab/>
            </w:r>
            <w:r w:rsidR="009A40E7" w:rsidRPr="009F4DD6">
              <w:rPr>
                <w:rStyle w:val="Hipervnculo"/>
                <w:noProof/>
              </w:rPr>
              <w:t>Medio Ambiente</w:t>
            </w:r>
            <w:r w:rsidR="009A40E7">
              <w:rPr>
                <w:noProof/>
                <w:webHidden/>
              </w:rPr>
              <w:tab/>
            </w:r>
            <w:r w:rsidR="009A40E7">
              <w:rPr>
                <w:noProof/>
                <w:webHidden/>
              </w:rPr>
              <w:fldChar w:fldCharType="begin"/>
            </w:r>
            <w:r w:rsidR="009A40E7">
              <w:rPr>
                <w:noProof/>
                <w:webHidden/>
              </w:rPr>
              <w:instrText xml:space="preserve"> PAGEREF _Toc351397596 \h </w:instrText>
            </w:r>
            <w:r w:rsidR="009A40E7">
              <w:rPr>
                <w:noProof/>
                <w:webHidden/>
              </w:rPr>
            </w:r>
            <w:r w:rsidR="009A40E7">
              <w:rPr>
                <w:noProof/>
                <w:webHidden/>
              </w:rPr>
              <w:fldChar w:fldCharType="separate"/>
            </w:r>
            <w:r w:rsidR="00DE4C4C">
              <w:rPr>
                <w:noProof/>
                <w:webHidden/>
              </w:rPr>
              <w:t>18</w:t>
            </w:r>
            <w:r w:rsidR="009A40E7">
              <w:rPr>
                <w:noProof/>
                <w:webHidden/>
              </w:rPr>
              <w:fldChar w:fldCharType="end"/>
            </w:r>
          </w:hyperlink>
        </w:p>
        <w:p w:rsidR="009A40E7" w:rsidRDefault="00EA15E2">
          <w:pPr>
            <w:pStyle w:val="TDC3"/>
            <w:tabs>
              <w:tab w:val="right" w:leader="dot" w:pos="8828"/>
            </w:tabs>
            <w:rPr>
              <w:rFonts w:eastAsiaTheme="minorEastAsia"/>
              <w:noProof/>
              <w:lang w:val="en-US"/>
            </w:rPr>
          </w:pPr>
          <w:hyperlink w:anchor="_Toc351397597" w:history="1">
            <w:r w:rsidR="009A40E7" w:rsidRPr="009F4DD6">
              <w:rPr>
                <w:rStyle w:val="Hipervnculo"/>
                <w:noProof/>
              </w:rPr>
              <w:t>4.3.1 Emisiones</w:t>
            </w:r>
            <w:r w:rsidR="009A40E7">
              <w:rPr>
                <w:noProof/>
                <w:webHidden/>
              </w:rPr>
              <w:tab/>
            </w:r>
            <w:r w:rsidR="009A40E7">
              <w:rPr>
                <w:noProof/>
                <w:webHidden/>
              </w:rPr>
              <w:fldChar w:fldCharType="begin"/>
            </w:r>
            <w:r w:rsidR="009A40E7">
              <w:rPr>
                <w:noProof/>
                <w:webHidden/>
              </w:rPr>
              <w:instrText xml:space="preserve"> PAGEREF _Toc351397597 \h </w:instrText>
            </w:r>
            <w:r w:rsidR="009A40E7">
              <w:rPr>
                <w:noProof/>
                <w:webHidden/>
              </w:rPr>
            </w:r>
            <w:r w:rsidR="009A40E7">
              <w:rPr>
                <w:noProof/>
                <w:webHidden/>
              </w:rPr>
              <w:fldChar w:fldCharType="separate"/>
            </w:r>
            <w:r w:rsidR="00DE4C4C">
              <w:rPr>
                <w:noProof/>
                <w:webHidden/>
              </w:rPr>
              <w:t>18</w:t>
            </w:r>
            <w:r w:rsidR="009A40E7">
              <w:rPr>
                <w:noProof/>
                <w:webHidden/>
              </w:rPr>
              <w:fldChar w:fldCharType="end"/>
            </w:r>
          </w:hyperlink>
        </w:p>
        <w:p w:rsidR="009A40E7" w:rsidRDefault="00EA15E2">
          <w:pPr>
            <w:pStyle w:val="TDC1"/>
            <w:tabs>
              <w:tab w:val="left" w:pos="440"/>
              <w:tab w:val="right" w:leader="dot" w:pos="8828"/>
            </w:tabs>
            <w:rPr>
              <w:rFonts w:eastAsiaTheme="minorEastAsia"/>
              <w:noProof/>
              <w:lang w:val="en-US"/>
            </w:rPr>
          </w:pPr>
          <w:hyperlink w:anchor="_Toc351397598" w:history="1">
            <w:r w:rsidR="009A40E7" w:rsidRPr="009F4DD6">
              <w:rPr>
                <w:rStyle w:val="Hipervnculo"/>
                <w:noProof/>
              </w:rPr>
              <w:t>5.</w:t>
            </w:r>
            <w:r w:rsidR="009A40E7">
              <w:rPr>
                <w:rFonts w:eastAsiaTheme="minorEastAsia"/>
                <w:noProof/>
                <w:lang w:val="en-US"/>
              </w:rPr>
              <w:tab/>
            </w:r>
            <w:r w:rsidR="009A40E7" w:rsidRPr="009F4DD6">
              <w:rPr>
                <w:rStyle w:val="Hipervnculo"/>
                <w:noProof/>
              </w:rPr>
              <w:t>Escenarios de co-beneficios de la vivienda baja en carbono en México.</w:t>
            </w:r>
            <w:r w:rsidR="009A40E7">
              <w:rPr>
                <w:noProof/>
                <w:webHidden/>
              </w:rPr>
              <w:tab/>
            </w:r>
            <w:r w:rsidR="009A40E7">
              <w:rPr>
                <w:noProof/>
                <w:webHidden/>
              </w:rPr>
              <w:fldChar w:fldCharType="begin"/>
            </w:r>
            <w:r w:rsidR="009A40E7">
              <w:rPr>
                <w:noProof/>
                <w:webHidden/>
              </w:rPr>
              <w:instrText xml:space="preserve"> PAGEREF _Toc351397598 \h </w:instrText>
            </w:r>
            <w:r w:rsidR="009A40E7">
              <w:rPr>
                <w:noProof/>
                <w:webHidden/>
              </w:rPr>
            </w:r>
            <w:r w:rsidR="009A40E7">
              <w:rPr>
                <w:noProof/>
                <w:webHidden/>
              </w:rPr>
              <w:fldChar w:fldCharType="separate"/>
            </w:r>
            <w:r w:rsidR="00DE4C4C">
              <w:rPr>
                <w:noProof/>
                <w:webHidden/>
              </w:rPr>
              <w:t>20</w:t>
            </w:r>
            <w:r w:rsidR="009A40E7">
              <w:rPr>
                <w:noProof/>
                <w:webHidden/>
              </w:rPr>
              <w:fldChar w:fldCharType="end"/>
            </w:r>
          </w:hyperlink>
        </w:p>
        <w:p w:rsidR="009A40E7" w:rsidRDefault="00EA15E2">
          <w:pPr>
            <w:pStyle w:val="TDC1"/>
            <w:tabs>
              <w:tab w:val="left" w:pos="440"/>
              <w:tab w:val="right" w:leader="dot" w:pos="8828"/>
            </w:tabs>
            <w:rPr>
              <w:rFonts w:eastAsiaTheme="minorEastAsia"/>
              <w:noProof/>
              <w:lang w:val="en-US"/>
            </w:rPr>
          </w:pPr>
          <w:hyperlink w:anchor="_Toc351397599" w:history="1">
            <w:r w:rsidR="009A40E7" w:rsidRPr="009F4DD6">
              <w:rPr>
                <w:rStyle w:val="Hipervnculo"/>
                <w:noProof/>
              </w:rPr>
              <w:t>6.</w:t>
            </w:r>
            <w:r w:rsidR="009A40E7">
              <w:rPr>
                <w:rFonts w:eastAsiaTheme="minorEastAsia"/>
                <w:noProof/>
                <w:lang w:val="en-US"/>
              </w:rPr>
              <w:tab/>
            </w:r>
            <w:r w:rsidR="009A40E7" w:rsidRPr="009F4DD6">
              <w:rPr>
                <w:rStyle w:val="Hipervnculo"/>
                <w:noProof/>
              </w:rPr>
              <w:t>Cuantificación de co-beneficios</w:t>
            </w:r>
            <w:r w:rsidR="009A40E7">
              <w:rPr>
                <w:noProof/>
                <w:webHidden/>
              </w:rPr>
              <w:tab/>
            </w:r>
            <w:r w:rsidR="009A40E7">
              <w:rPr>
                <w:noProof/>
                <w:webHidden/>
              </w:rPr>
              <w:fldChar w:fldCharType="begin"/>
            </w:r>
            <w:r w:rsidR="009A40E7">
              <w:rPr>
                <w:noProof/>
                <w:webHidden/>
              </w:rPr>
              <w:instrText xml:space="preserve"> PAGEREF _Toc351397599 \h </w:instrText>
            </w:r>
            <w:r w:rsidR="009A40E7">
              <w:rPr>
                <w:noProof/>
                <w:webHidden/>
              </w:rPr>
            </w:r>
            <w:r w:rsidR="009A40E7">
              <w:rPr>
                <w:noProof/>
                <w:webHidden/>
              </w:rPr>
              <w:fldChar w:fldCharType="separate"/>
            </w:r>
            <w:r w:rsidR="00DE4C4C">
              <w:rPr>
                <w:noProof/>
                <w:webHidden/>
              </w:rPr>
              <w:t>22</w:t>
            </w:r>
            <w:r w:rsidR="009A40E7">
              <w:rPr>
                <w:noProof/>
                <w:webHidden/>
              </w:rPr>
              <w:fldChar w:fldCharType="end"/>
            </w:r>
          </w:hyperlink>
        </w:p>
        <w:p w:rsidR="009A40E7" w:rsidRDefault="00EA15E2">
          <w:pPr>
            <w:pStyle w:val="TDC2"/>
            <w:tabs>
              <w:tab w:val="right" w:leader="dot" w:pos="8828"/>
            </w:tabs>
            <w:rPr>
              <w:rFonts w:eastAsiaTheme="minorEastAsia"/>
              <w:noProof/>
              <w:lang w:val="en-US"/>
            </w:rPr>
          </w:pPr>
          <w:hyperlink w:anchor="_Toc351397600" w:history="1">
            <w:r w:rsidR="009A40E7" w:rsidRPr="009F4DD6">
              <w:rPr>
                <w:rStyle w:val="Hipervnculo"/>
                <w:noProof/>
              </w:rPr>
              <w:t>6.1 Impactos por hogar</w:t>
            </w:r>
            <w:r w:rsidR="009A40E7">
              <w:rPr>
                <w:noProof/>
                <w:webHidden/>
              </w:rPr>
              <w:tab/>
            </w:r>
            <w:r w:rsidR="009A40E7">
              <w:rPr>
                <w:noProof/>
                <w:webHidden/>
              </w:rPr>
              <w:fldChar w:fldCharType="begin"/>
            </w:r>
            <w:r w:rsidR="009A40E7">
              <w:rPr>
                <w:noProof/>
                <w:webHidden/>
              </w:rPr>
              <w:instrText xml:space="preserve"> PAGEREF _Toc351397600 \h </w:instrText>
            </w:r>
            <w:r w:rsidR="009A40E7">
              <w:rPr>
                <w:noProof/>
                <w:webHidden/>
              </w:rPr>
            </w:r>
            <w:r w:rsidR="009A40E7">
              <w:rPr>
                <w:noProof/>
                <w:webHidden/>
              </w:rPr>
              <w:fldChar w:fldCharType="separate"/>
            </w:r>
            <w:r w:rsidR="00DE4C4C">
              <w:rPr>
                <w:noProof/>
                <w:webHidden/>
              </w:rPr>
              <w:t>22</w:t>
            </w:r>
            <w:r w:rsidR="009A40E7">
              <w:rPr>
                <w:noProof/>
                <w:webHidden/>
              </w:rPr>
              <w:fldChar w:fldCharType="end"/>
            </w:r>
          </w:hyperlink>
        </w:p>
        <w:p w:rsidR="009A40E7" w:rsidRDefault="00EA15E2">
          <w:pPr>
            <w:pStyle w:val="TDC2"/>
            <w:tabs>
              <w:tab w:val="right" w:leader="dot" w:pos="8828"/>
            </w:tabs>
            <w:rPr>
              <w:rFonts w:eastAsiaTheme="minorEastAsia"/>
              <w:noProof/>
              <w:lang w:val="en-US"/>
            </w:rPr>
          </w:pPr>
          <w:hyperlink w:anchor="_Toc351397601" w:history="1">
            <w:r w:rsidR="009A40E7" w:rsidRPr="009F4DD6">
              <w:rPr>
                <w:rStyle w:val="Hipervnculo"/>
                <w:noProof/>
              </w:rPr>
              <w:t>6.2 Impactos a nivel nacional</w:t>
            </w:r>
            <w:r w:rsidR="009A40E7">
              <w:rPr>
                <w:noProof/>
                <w:webHidden/>
              </w:rPr>
              <w:tab/>
            </w:r>
            <w:r w:rsidR="009A40E7">
              <w:rPr>
                <w:noProof/>
                <w:webHidden/>
              </w:rPr>
              <w:fldChar w:fldCharType="begin"/>
            </w:r>
            <w:r w:rsidR="009A40E7">
              <w:rPr>
                <w:noProof/>
                <w:webHidden/>
              </w:rPr>
              <w:instrText xml:space="preserve"> PAGEREF _Toc351397601 \h </w:instrText>
            </w:r>
            <w:r w:rsidR="009A40E7">
              <w:rPr>
                <w:noProof/>
                <w:webHidden/>
              </w:rPr>
            </w:r>
            <w:r w:rsidR="009A40E7">
              <w:rPr>
                <w:noProof/>
                <w:webHidden/>
              </w:rPr>
              <w:fldChar w:fldCharType="separate"/>
            </w:r>
            <w:r w:rsidR="00DE4C4C">
              <w:rPr>
                <w:noProof/>
                <w:webHidden/>
              </w:rPr>
              <w:t>23</w:t>
            </w:r>
            <w:r w:rsidR="009A40E7">
              <w:rPr>
                <w:noProof/>
                <w:webHidden/>
              </w:rPr>
              <w:fldChar w:fldCharType="end"/>
            </w:r>
          </w:hyperlink>
        </w:p>
        <w:p w:rsidR="009A40E7" w:rsidRDefault="00EA15E2">
          <w:pPr>
            <w:pStyle w:val="TDC2"/>
            <w:tabs>
              <w:tab w:val="right" w:leader="dot" w:pos="8828"/>
            </w:tabs>
            <w:rPr>
              <w:rFonts w:eastAsiaTheme="minorEastAsia"/>
              <w:noProof/>
              <w:lang w:val="en-US"/>
            </w:rPr>
          </w:pPr>
          <w:hyperlink w:anchor="_Toc351397602" w:history="1">
            <w:r w:rsidR="009A40E7" w:rsidRPr="009F4DD6">
              <w:rPr>
                <w:rStyle w:val="Hipervnculo"/>
                <w:noProof/>
              </w:rPr>
              <w:t>6.3 Emisiones evitadas</w:t>
            </w:r>
            <w:r w:rsidR="009A40E7">
              <w:rPr>
                <w:noProof/>
                <w:webHidden/>
              </w:rPr>
              <w:tab/>
            </w:r>
            <w:r w:rsidR="009A40E7">
              <w:rPr>
                <w:noProof/>
                <w:webHidden/>
              </w:rPr>
              <w:fldChar w:fldCharType="begin"/>
            </w:r>
            <w:r w:rsidR="009A40E7">
              <w:rPr>
                <w:noProof/>
                <w:webHidden/>
              </w:rPr>
              <w:instrText xml:space="preserve"> PAGEREF _Toc351397602 \h </w:instrText>
            </w:r>
            <w:r w:rsidR="009A40E7">
              <w:rPr>
                <w:noProof/>
                <w:webHidden/>
              </w:rPr>
            </w:r>
            <w:r w:rsidR="009A40E7">
              <w:rPr>
                <w:noProof/>
                <w:webHidden/>
              </w:rPr>
              <w:fldChar w:fldCharType="separate"/>
            </w:r>
            <w:r w:rsidR="00DE4C4C">
              <w:rPr>
                <w:noProof/>
                <w:webHidden/>
              </w:rPr>
              <w:t>24</w:t>
            </w:r>
            <w:r w:rsidR="009A40E7">
              <w:rPr>
                <w:noProof/>
                <w:webHidden/>
              </w:rPr>
              <w:fldChar w:fldCharType="end"/>
            </w:r>
          </w:hyperlink>
        </w:p>
        <w:p w:rsidR="009A40E7" w:rsidRDefault="00EA15E2">
          <w:pPr>
            <w:pStyle w:val="TDC3"/>
            <w:tabs>
              <w:tab w:val="right" w:leader="dot" w:pos="8828"/>
            </w:tabs>
            <w:rPr>
              <w:rFonts w:eastAsiaTheme="minorEastAsia"/>
              <w:noProof/>
              <w:lang w:val="en-US"/>
            </w:rPr>
          </w:pPr>
          <w:hyperlink w:anchor="_Toc351397603" w:history="1">
            <w:r w:rsidR="009A40E7" w:rsidRPr="009F4DD6">
              <w:rPr>
                <w:rStyle w:val="Hipervnculo"/>
                <w:noProof/>
              </w:rPr>
              <w:t>6.4 Actividad económica</w:t>
            </w:r>
            <w:r w:rsidR="009A40E7">
              <w:rPr>
                <w:noProof/>
                <w:webHidden/>
              </w:rPr>
              <w:tab/>
            </w:r>
            <w:r w:rsidR="009A40E7">
              <w:rPr>
                <w:noProof/>
                <w:webHidden/>
              </w:rPr>
              <w:fldChar w:fldCharType="begin"/>
            </w:r>
            <w:r w:rsidR="009A40E7">
              <w:rPr>
                <w:noProof/>
                <w:webHidden/>
              </w:rPr>
              <w:instrText xml:space="preserve"> PAGEREF _Toc351397603 \h </w:instrText>
            </w:r>
            <w:r w:rsidR="009A40E7">
              <w:rPr>
                <w:noProof/>
                <w:webHidden/>
              </w:rPr>
            </w:r>
            <w:r w:rsidR="009A40E7">
              <w:rPr>
                <w:noProof/>
                <w:webHidden/>
              </w:rPr>
              <w:fldChar w:fldCharType="separate"/>
            </w:r>
            <w:r w:rsidR="00DE4C4C">
              <w:rPr>
                <w:noProof/>
                <w:webHidden/>
              </w:rPr>
              <w:t>24</w:t>
            </w:r>
            <w:r w:rsidR="009A40E7">
              <w:rPr>
                <w:noProof/>
                <w:webHidden/>
              </w:rPr>
              <w:fldChar w:fldCharType="end"/>
            </w:r>
          </w:hyperlink>
        </w:p>
        <w:p w:rsidR="009A40E7" w:rsidRDefault="00EA15E2">
          <w:pPr>
            <w:pStyle w:val="TDC1"/>
            <w:tabs>
              <w:tab w:val="left" w:pos="440"/>
              <w:tab w:val="right" w:leader="dot" w:pos="8828"/>
            </w:tabs>
            <w:rPr>
              <w:rFonts w:eastAsiaTheme="minorEastAsia"/>
              <w:noProof/>
              <w:lang w:val="en-US"/>
            </w:rPr>
          </w:pPr>
          <w:hyperlink w:anchor="_Toc351397604" w:history="1">
            <w:r w:rsidR="009A40E7" w:rsidRPr="009F4DD6">
              <w:rPr>
                <w:rStyle w:val="Hipervnculo"/>
                <w:noProof/>
              </w:rPr>
              <w:t>7.</w:t>
            </w:r>
            <w:r w:rsidR="009A40E7">
              <w:rPr>
                <w:rFonts w:eastAsiaTheme="minorEastAsia"/>
                <w:noProof/>
                <w:lang w:val="en-US"/>
              </w:rPr>
              <w:tab/>
            </w:r>
            <w:r w:rsidR="009A40E7" w:rsidRPr="009F4DD6">
              <w:rPr>
                <w:rStyle w:val="Hipervnculo"/>
                <w:noProof/>
              </w:rPr>
              <w:t>Conclusiones y recomendaciones</w:t>
            </w:r>
            <w:r w:rsidR="009A40E7">
              <w:rPr>
                <w:noProof/>
                <w:webHidden/>
              </w:rPr>
              <w:tab/>
            </w:r>
            <w:r w:rsidR="009A40E7">
              <w:rPr>
                <w:noProof/>
                <w:webHidden/>
              </w:rPr>
              <w:fldChar w:fldCharType="begin"/>
            </w:r>
            <w:r w:rsidR="009A40E7">
              <w:rPr>
                <w:noProof/>
                <w:webHidden/>
              </w:rPr>
              <w:instrText xml:space="preserve"> PAGEREF _Toc351397604 \h </w:instrText>
            </w:r>
            <w:r w:rsidR="009A40E7">
              <w:rPr>
                <w:noProof/>
                <w:webHidden/>
              </w:rPr>
            </w:r>
            <w:r w:rsidR="009A40E7">
              <w:rPr>
                <w:noProof/>
                <w:webHidden/>
              </w:rPr>
              <w:fldChar w:fldCharType="separate"/>
            </w:r>
            <w:r w:rsidR="00DE4C4C">
              <w:rPr>
                <w:noProof/>
                <w:webHidden/>
              </w:rPr>
              <w:t>25</w:t>
            </w:r>
            <w:r w:rsidR="009A40E7">
              <w:rPr>
                <w:noProof/>
                <w:webHidden/>
              </w:rPr>
              <w:fldChar w:fldCharType="end"/>
            </w:r>
          </w:hyperlink>
        </w:p>
        <w:p w:rsidR="009A40E7" w:rsidRDefault="00EA15E2">
          <w:pPr>
            <w:pStyle w:val="TDC1"/>
            <w:tabs>
              <w:tab w:val="right" w:leader="dot" w:pos="8828"/>
            </w:tabs>
            <w:rPr>
              <w:rFonts w:eastAsiaTheme="minorEastAsia"/>
              <w:noProof/>
              <w:lang w:val="en-US"/>
            </w:rPr>
          </w:pPr>
          <w:hyperlink w:anchor="_Toc351397605" w:history="1">
            <w:r w:rsidR="009A40E7" w:rsidRPr="009F4DD6">
              <w:rPr>
                <w:rStyle w:val="Hipervnculo"/>
                <w:noProof/>
              </w:rPr>
              <w:t>ANEXO I. Metodología</w:t>
            </w:r>
            <w:r w:rsidR="009A40E7">
              <w:rPr>
                <w:noProof/>
                <w:webHidden/>
              </w:rPr>
              <w:tab/>
            </w:r>
            <w:r w:rsidR="009A40E7">
              <w:rPr>
                <w:noProof/>
                <w:webHidden/>
              </w:rPr>
              <w:fldChar w:fldCharType="begin"/>
            </w:r>
            <w:r w:rsidR="009A40E7">
              <w:rPr>
                <w:noProof/>
                <w:webHidden/>
              </w:rPr>
              <w:instrText xml:space="preserve"> PAGEREF _Toc351397605 \h </w:instrText>
            </w:r>
            <w:r w:rsidR="009A40E7">
              <w:rPr>
                <w:noProof/>
                <w:webHidden/>
              </w:rPr>
            </w:r>
            <w:r w:rsidR="009A40E7">
              <w:rPr>
                <w:noProof/>
                <w:webHidden/>
              </w:rPr>
              <w:fldChar w:fldCharType="separate"/>
            </w:r>
            <w:r w:rsidR="00DE4C4C">
              <w:rPr>
                <w:noProof/>
                <w:webHidden/>
              </w:rPr>
              <w:t>26</w:t>
            </w:r>
            <w:r w:rsidR="009A40E7">
              <w:rPr>
                <w:noProof/>
                <w:webHidden/>
              </w:rPr>
              <w:fldChar w:fldCharType="end"/>
            </w:r>
          </w:hyperlink>
        </w:p>
        <w:p w:rsidR="009A40E7" w:rsidRDefault="00EA15E2">
          <w:pPr>
            <w:pStyle w:val="TDC1"/>
            <w:tabs>
              <w:tab w:val="right" w:leader="dot" w:pos="8828"/>
            </w:tabs>
            <w:rPr>
              <w:rFonts w:eastAsiaTheme="minorEastAsia"/>
              <w:noProof/>
              <w:lang w:val="en-US"/>
            </w:rPr>
          </w:pPr>
          <w:hyperlink w:anchor="_Toc351397606" w:history="1">
            <w:r w:rsidR="009A40E7" w:rsidRPr="009F4DD6">
              <w:rPr>
                <w:rStyle w:val="Hipervnculo"/>
                <w:noProof/>
              </w:rPr>
              <w:t>Anexo II. Tipología de los beneficios no-energéticos de la mitigación del CO</w:t>
            </w:r>
            <w:r w:rsidR="009A40E7" w:rsidRPr="009F4DD6">
              <w:rPr>
                <w:rStyle w:val="Hipervnculo"/>
                <w:noProof/>
                <w:vertAlign w:val="subscript"/>
              </w:rPr>
              <w:t>2</w:t>
            </w:r>
            <w:r w:rsidR="009A40E7" w:rsidRPr="009F4DD6">
              <w:rPr>
                <w:rStyle w:val="Hipervnculo"/>
                <w:noProof/>
              </w:rPr>
              <w:t xml:space="preserve"> en los edificios</w:t>
            </w:r>
            <w:r w:rsidR="009A40E7">
              <w:rPr>
                <w:noProof/>
                <w:webHidden/>
              </w:rPr>
              <w:tab/>
            </w:r>
            <w:r w:rsidR="009A40E7">
              <w:rPr>
                <w:noProof/>
                <w:webHidden/>
              </w:rPr>
              <w:fldChar w:fldCharType="begin"/>
            </w:r>
            <w:r w:rsidR="009A40E7">
              <w:rPr>
                <w:noProof/>
                <w:webHidden/>
              </w:rPr>
              <w:instrText xml:space="preserve"> PAGEREF _Toc351397606 \h </w:instrText>
            </w:r>
            <w:r w:rsidR="009A40E7">
              <w:rPr>
                <w:noProof/>
                <w:webHidden/>
              </w:rPr>
            </w:r>
            <w:r w:rsidR="009A40E7">
              <w:rPr>
                <w:noProof/>
                <w:webHidden/>
              </w:rPr>
              <w:fldChar w:fldCharType="separate"/>
            </w:r>
            <w:r w:rsidR="00DE4C4C">
              <w:rPr>
                <w:noProof/>
                <w:webHidden/>
              </w:rPr>
              <w:t>29</w:t>
            </w:r>
            <w:r w:rsidR="009A40E7">
              <w:rPr>
                <w:noProof/>
                <w:webHidden/>
              </w:rPr>
              <w:fldChar w:fldCharType="end"/>
            </w:r>
          </w:hyperlink>
        </w:p>
        <w:p w:rsidR="009A40E7" w:rsidRDefault="00EA15E2">
          <w:pPr>
            <w:pStyle w:val="TDC1"/>
            <w:tabs>
              <w:tab w:val="right" w:leader="dot" w:pos="8828"/>
            </w:tabs>
            <w:rPr>
              <w:rFonts w:eastAsiaTheme="minorEastAsia"/>
              <w:noProof/>
              <w:lang w:val="en-US"/>
            </w:rPr>
          </w:pPr>
          <w:hyperlink w:anchor="_Toc351397607" w:history="1">
            <w:r w:rsidR="009A40E7" w:rsidRPr="009F4DD6">
              <w:rPr>
                <w:rStyle w:val="Hipervnculo"/>
                <w:noProof/>
              </w:rPr>
              <w:t>Anexo III.</w:t>
            </w:r>
            <w:r w:rsidR="009A40E7" w:rsidRPr="009F4DD6">
              <w:rPr>
                <w:rStyle w:val="Hipervnculo"/>
                <w:noProof/>
                <w:lang w:val="es-ES_tradnl"/>
              </w:rPr>
              <w:t xml:space="preserve"> La calidad del aire en interiores</w:t>
            </w:r>
            <w:r w:rsidR="009A40E7">
              <w:rPr>
                <w:noProof/>
                <w:webHidden/>
              </w:rPr>
              <w:tab/>
            </w:r>
            <w:r w:rsidR="009A40E7">
              <w:rPr>
                <w:noProof/>
                <w:webHidden/>
              </w:rPr>
              <w:fldChar w:fldCharType="begin"/>
            </w:r>
            <w:r w:rsidR="009A40E7">
              <w:rPr>
                <w:noProof/>
                <w:webHidden/>
              </w:rPr>
              <w:instrText xml:space="preserve"> PAGEREF _Toc351397607 \h </w:instrText>
            </w:r>
            <w:r w:rsidR="009A40E7">
              <w:rPr>
                <w:noProof/>
                <w:webHidden/>
              </w:rPr>
            </w:r>
            <w:r w:rsidR="009A40E7">
              <w:rPr>
                <w:noProof/>
                <w:webHidden/>
              </w:rPr>
              <w:fldChar w:fldCharType="separate"/>
            </w:r>
            <w:r w:rsidR="00DE4C4C">
              <w:rPr>
                <w:noProof/>
                <w:webHidden/>
              </w:rPr>
              <w:t>40</w:t>
            </w:r>
            <w:r w:rsidR="009A40E7">
              <w:rPr>
                <w:noProof/>
                <w:webHidden/>
              </w:rPr>
              <w:fldChar w:fldCharType="end"/>
            </w:r>
          </w:hyperlink>
        </w:p>
        <w:p w:rsidR="009A40E7" w:rsidRDefault="00EA15E2">
          <w:pPr>
            <w:pStyle w:val="TDC1"/>
            <w:tabs>
              <w:tab w:val="right" w:leader="dot" w:pos="8828"/>
            </w:tabs>
            <w:rPr>
              <w:rFonts w:eastAsiaTheme="minorEastAsia"/>
              <w:noProof/>
              <w:lang w:val="en-US"/>
            </w:rPr>
          </w:pPr>
          <w:hyperlink w:anchor="_Toc351397608" w:history="1">
            <w:r w:rsidR="009A40E7" w:rsidRPr="009F4DD6">
              <w:rPr>
                <w:rStyle w:val="Hipervnculo"/>
                <w:noProof/>
              </w:rPr>
              <w:t>Anexo IV. La eficiencia energética y la salud en la vivienda</w:t>
            </w:r>
            <w:r w:rsidR="009A40E7">
              <w:rPr>
                <w:noProof/>
                <w:webHidden/>
              </w:rPr>
              <w:tab/>
            </w:r>
            <w:r w:rsidR="009A40E7">
              <w:rPr>
                <w:noProof/>
                <w:webHidden/>
              </w:rPr>
              <w:fldChar w:fldCharType="begin"/>
            </w:r>
            <w:r w:rsidR="009A40E7">
              <w:rPr>
                <w:noProof/>
                <w:webHidden/>
              </w:rPr>
              <w:instrText xml:space="preserve"> PAGEREF _Toc351397608 \h </w:instrText>
            </w:r>
            <w:r w:rsidR="009A40E7">
              <w:rPr>
                <w:noProof/>
                <w:webHidden/>
              </w:rPr>
            </w:r>
            <w:r w:rsidR="009A40E7">
              <w:rPr>
                <w:noProof/>
                <w:webHidden/>
              </w:rPr>
              <w:fldChar w:fldCharType="separate"/>
            </w:r>
            <w:r w:rsidR="00DE4C4C">
              <w:rPr>
                <w:noProof/>
                <w:webHidden/>
              </w:rPr>
              <w:t>50</w:t>
            </w:r>
            <w:r w:rsidR="009A40E7">
              <w:rPr>
                <w:noProof/>
                <w:webHidden/>
              </w:rPr>
              <w:fldChar w:fldCharType="end"/>
            </w:r>
          </w:hyperlink>
        </w:p>
        <w:p w:rsidR="009A40E7" w:rsidRDefault="00EA15E2">
          <w:pPr>
            <w:pStyle w:val="TDC1"/>
            <w:tabs>
              <w:tab w:val="right" w:leader="dot" w:pos="8828"/>
            </w:tabs>
            <w:rPr>
              <w:rFonts w:eastAsiaTheme="minorEastAsia"/>
              <w:noProof/>
              <w:lang w:val="en-US"/>
            </w:rPr>
          </w:pPr>
          <w:hyperlink w:anchor="_Toc351397609" w:history="1">
            <w:r w:rsidR="009A40E7" w:rsidRPr="009F4DD6">
              <w:rPr>
                <w:rStyle w:val="Hipervnculo"/>
                <w:noProof/>
              </w:rPr>
              <w:t>Anexo V. Creación de empleo a través de la eficiencia energética en la vivienda</w:t>
            </w:r>
            <w:r w:rsidR="009A40E7">
              <w:rPr>
                <w:noProof/>
                <w:webHidden/>
              </w:rPr>
              <w:tab/>
            </w:r>
            <w:r w:rsidR="009A40E7">
              <w:rPr>
                <w:noProof/>
                <w:webHidden/>
              </w:rPr>
              <w:fldChar w:fldCharType="begin"/>
            </w:r>
            <w:r w:rsidR="009A40E7">
              <w:rPr>
                <w:noProof/>
                <w:webHidden/>
              </w:rPr>
              <w:instrText xml:space="preserve"> PAGEREF _Toc351397609 \h </w:instrText>
            </w:r>
            <w:r w:rsidR="009A40E7">
              <w:rPr>
                <w:noProof/>
                <w:webHidden/>
              </w:rPr>
            </w:r>
            <w:r w:rsidR="009A40E7">
              <w:rPr>
                <w:noProof/>
                <w:webHidden/>
              </w:rPr>
              <w:fldChar w:fldCharType="separate"/>
            </w:r>
            <w:r w:rsidR="00DE4C4C">
              <w:rPr>
                <w:noProof/>
                <w:webHidden/>
              </w:rPr>
              <w:t>55</w:t>
            </w:r>
            <w:r w:rsidR="009A40E7">
              <w:rPr>
                <w:noProof/>
                <w:webHidden/>
              </w:rPr>
              <w:fldChar w:fldCharType="end"/>
            </w:r>
          </w:hyperlink>
        </w:p>
        <w:p w:rsidR="009A40E7" w:rsidRDefault="00EA15E2">
          <w:pPr>
            <w:pStyle w:val="TDC1"/>
            <w:tabs>
              <w:tab w:val="right" w:leader="dot" w:pos="8828"/>
            </w:tabs>
            <w:rPr>
              <w:rFonts w:eastAsiaTheme="minorEastAsia"/>
              <w:noProof/>
              <w:lang w:val="en-US"/>
            </w:rPr>
          </w:pPr>
          <w:hyperlink w:anchor="_Toc351397610" w:history="1">
            <w:r w:rsidR="009A40E7" w:rsidRPr="009F4DD6">
              <w:rPr>
                <w:rStyle w:val="Hipervnculo"/>
                <w:noProof/>
                <w:lang w:val="en-US"/>
              </w:rPr>
              <w:t>Bibliografía</w:t>
            </w:r>
            <w:r w:rsidR="009A40E7">
              <w:rPr>
                <w:noProof/>
                <w:webHidden/>
              </w:rPr>
              <w:tab/>
            </w:r>
            <w:r w:rsidR="009A40E7">
              <w:rPr>
                <w:noProof/>
                <w:webHidden/>
              </w:rPr>
              <w:fldChar w:fldCharType="begin"/>
            </w:r>
            <w:r w:rsidR="009A40E7">
              <w:rPr>
                <w:noProof/>
                <w:webHidden/>
              </w:rPr>
              <w:instrText xml:space="preserve"> PAGEREF _Toc351397610 \h </w:instrText>
            </w:r>
            <w:r w:rsidR="009A40E7">
              <w:rPr>
                <w:noProof/>
                <w:webHidden/>
              </w:rPr>
            </w:r>
            <w:r w:rsidR="009A40E7">
              <w:rPr>
                <w:noProof/>
                <w:webHidden/>
              </w:rPr>
              <w:fldChar w:fldCharType="separate"/>
            </w:r>
            <w:r w:rsidR="00DE4C4C">
              <w:rPr>
                <w:noProof/>
                <w:webHidden/>
              </w:rPr>
              <w:t>58</w:t>
            </w:r>
            <w:r w:rsidR="009A40E7">
              <w:rPr>
                <w:noProof/>
                <w:webHidden/>
              </w:rPr>
              <w:fldChar w:fldCharType="end"/>
            </w:r>
          </w:hyperlink>
        </w:p>
        <w:p w:rsidR="00EF015C" w:rsidRPr="008B43F6" w:rsidRDefault="00EF015C" w:rsidP="00C92E54">
          <w:r w:rsidRPr="008B43F6">
            <w:rPr>
              <w:b/>
              <w:bCs/>
              <w:lang w:val="es-ES"/>
            </w:rPr>
            <w:fldChar w:fldCharType="end"/>
          </w:r>
        </w:p>
      </w:sdtContent>
    </w:sdt>
    <w:p w:rsidR="00A76A72" w:rsidRPr="008B43F6" w:rsidRDefault="00A76A72" w:rsidP="00C92E54">
      <w:pPr>
        <w:rPr>
          <w:rFonts w:eastAsiaTheme="majorEastAsia" w:cstheme="majorBidi"/>
          <w:b/>
          <w:bCs/>
          <w:color w:val="365F91" w:themeColor="accent1" w:themeShade="BF"/>
          <w:sz w:val="28"/>
          <w:szCs w:val="28"/>
        </w:rPr>
      </w:pPr>
      <w:r w:rsidRPr="008B43F6">
        <w:br w:type="page"/>
      </w:r>
    </w:p>
    <w:p w:rsidR="002C0CCF" w:rsidRPr="008B43F6" w:rsidRDefault="002C0CCF" w:rsidP="00C92E54">
      <w:pPr>
        <w:pStyle w:val="Ttulo1"/>
        <w:numPr>
          <w:ilvl w:val="0"/>
          <w:numId w:val="18"/>
        </w:numPr>
        <w:rPr>
          <w:rFonts w:asciiTheme="minorHAnsi" w:hAnsiTheme="minorHAnsi"/>
        </w:rPr>
      </w:pPr>
      <w:bookmarkStart w:id="2" w:name="_Toc350874954"/>
      <w:bookmarkStart w:id="3" w:name="_Toc351397566"/>
      <w:r w:rsidRPr="008B43F6">
        <w:rPr>
          <w:rFonts w:asciiTheme="minorHAnsi" w:hAnsiTheme="minorHAnsi"/>
        </w:rPr>
        <w:lastRenderedPageBreak/>
        <w:t>Introducción</w:t>
      </w:r>
      <w:bookmarkEnd w:id="0"/>
      <w:bookmarkEnd w:id="2"/>
      <w:bookmarkEnd w:id="3"/>
    </w:p>
    <w:p w:rsidR="002C0CCF" w:rsidRPr="008B43F6" w:rsidRDefault="002C0CCF" w:rsidP="00C92E54">
      <w:pPr>
        <w:pStyle w:val="Ttulo2"/>
        <w:rPr>
          <w:rFonts w:asciiTheme="minorHAnsi" w:hAnsiTheme="minorHAnsi"/>
        </w:rPr>
      </w:pPr>
      <w:bookmarkStart w:id="4" w:name="_Toc349275373"/>
      <w:bookmarkStart w:id="5" w:name="_Toc348746408"/>
      <w:bookmarkStart w:id="6" w:name="_Toc350212856"/>
      <w:bookmarkStart w:id="7" w:name="_Toc350874955"/>
      <w:bookmarkStart w:id="8" w:name="_Toc351397567"/>
      <w:r w:rsidRPr="008B43F6">
        <w:rPr>
          <w:rFonts w:asciiTheme="minorHAnsi" w:hAnsiTheme="minorHAnsi"/>
        </w:rPr>
        <w:t>1.1 Los edificios y el cambio climático</w:t>
      </w:r>
      <w:bookmarkEnd w:id="4"/>
      <w:bookmarkEnd w:id="5"/>
      <w:bookmarkEnd w:id="6"/>
      <w:bookmarkEnd w:id="7"/>
      <w:bookmarkEnd w:id="8"/>
    </w:p>
    <w:p w:rsidR="002C0CCF" w:rsidRPr="008B43F6" w:rsidRDefault="002C0CCF" w:rsidP="00C12621">
      <w:pPr>
        <w:spacing w:after="240"/>
        <w:jc w:val="both"/>
      </w:pPr>
      <w:r w:rsidRPr="008B43F6">
        <w:t>Según datos de la Agencia Internacional de Energía (2008), las emisiones globales de dióxido de carbono (CO</w:t>
      </w:r>
      <w:r w:rsidRPr="008B43F6">
        <w:rPr>
          <w:vertAlign w:val="subscript"/>
        </w:rPr>
        <w:t>2</w:t>
      </w:r>
      <w:r w:rsidRPr="008B43F6">
        <w:t>) residenciales representan aproximadamente el 17.8% del total mundial de emisiones directas de CO</w:t>
      </w:r>
      <w:r w:rsidRPr="008B43F6">
        <w:rPr>
          <w:vertAlign w:val="subscript"/>
        </w:rPr>
        <w:t>2</w:t>
      </w:r>
      <w:r w:rsidRPr="008B43F6">
        <w:t xml:space="preserve"> procedentes de fuentes de combustión. De ese total, el 11.3% está relacionado al uso de electricidad y calefacción en la vivienda, mientras que el 6.5% de las emisiones de CO</w:t>
      </w:r>
      <w:r w:rsidRPr="008B43F6">
        <w:rPr>
          <w:vertAlign w:val="subscript"/>
        </w:rPr>
        <w:t>2</w:t>
      </w:r>
      <w:r w:rsidRPr="008B43F6">
        <w:t xml:space="preserve"> que se generan en los hogares viene de la combustión, por ejemplo de cocinar y calentar agua. Esta estimación de las emisiones provenientes del sector residencial no tiene en cuenta las emisiones que pueden tener un potencial de calentamiento global aún más potente que el CO</w:t>
      </w:r>
      <w:r w:rsidRPr="008B43F6">
        <w:rPr>
          <w:vertAlign w:val="subscript"/>
        </w:rPr>
        <w:t>2</w:t>
      </w:r>
      <w:r w:rsidRPr="008B43F6">
        <w:t xml:space="preserve">, como el metano y carbono negro </w:t>
      </w:r>
      <w:r w:rsidRPr="008B43F6">
        <w:fldChar w:fldCharType="begin"/>
      </w:r>
      <w:r w:rsidRPr="008B43F6">
        <w:instrText xml:space="preserve"> ADDIN EN.CITE &lt;EndNote&gt;&lt;Cite&gt;&lt;Author&gt;Röbbel&lt;/Author&gt;&lt;Year&gt;2011&lt;/Year&gt;&lt;RecNum&gt;16&lt;/RecNum&gt;&lt;DisplayText&gt;[1]&lt;/DisplayText&gt;&lt;record&gt;&lt;rec-number&gt;16&lt;/rec-number&gt;&lt;foreign-keys&gt;&lt;key app="EN" db-id="w0w9edzzlxxfdgesvf359ft8wzxverspwaav"&gt;16&lt;/key&gt;&lt;/foreign-keys&gt;&lt;ref-type name="Report"&gt;27&lt;/ref-type&gt;&lt;contributors&gt;&lt;authors&gt;&lt;author&gt;Nathalie Röbbel&lt;/author&gt;&lt;/authors&gt;&lt;/contributors&gt;&lt;titles&gt;&lt;title&gt;Health co-benefits of climate change mitigation – Housing sector&lt;/title&gt;&lt;secondary-title&gt;Health in the green economy&lt;/secondary-title&gt;&lt;/titles&gt;&lt;dates&gt;&lt;year&gt;2011&lt;/year&gt;&lt;/dates&gt;&lt;pub-location&gt;Geneva, Switzerland&lt;/pub-location&gt;&lt;publisher&gt;World Health Organization&lt;/publisher&gt;&lt;urls&gt;&lt;related-urls&gt;&lt;url&gt;http://whqlibdoc.who.int/publications/2011/9789241501712_eng.pdf&lt;/url&gt;&lt;/related-urls&gt;&lt;/urls&gt;&lt;/record&gt;&lt;/Cite&gt;&lt;/EndNote&gt;</w:instrText>
      </w:r>
      <w:r w:rsidRPr="008B43F6">
        <w:fldChar w:fldCharType="separate"/>
      </w:r>
      <w:r w:rsidRPr="008B43F6">
        <w:rPr>
          <w:noProof/>
        </w:rPr>
        <w:t>[</w:t>
      </w:r>
      <w:hyperlink w:anchor="_ENREF_1" w:tooltip="Röbbel, 2011 #16" w:history="1">
        <w:r w:rsidR="00251C87" w:rsidRPr="008B43F6">
          <w:rPr>
            <w:noProof/>
          </w:rPr>
          <w:t>1</w:t>
        </w:r>
      </w:hyperlink>
      <w:r w:rsidRPr="008B43F6">
        <w:rPr>
          <w:noProof/>
        </w:rPr>
        <w:t>]</w:t>
      </w:r>
      <w:r w:rsidRPr="008B43F6">
        <w:fldChar w:fldCharType="end"/>
      </w:r>
      <w:r w:rsidRPr="008B43F6">
        <w:t>.</w:t>
      </w:r>
    </w:p>
    <w:p w:rsidR="002C0CCF" w:rsidRPr="008B43F6" w:rsidRDefault="002C0CCF" w:rsidP="00C12621">
      <w:pPr>
        <w:autoSpaceDE w:val="0"/>
        <w:autoSpaceDN w:val="0"/>
        <w:adjustRightInd w:val="0"/>
        <w:spacing w:after="240"/>
        <w:jc w:val="both"/>
        <w:rPr>
          <w:rFonts w:eastAsia="Times New Roman" w:cstheme="minorHAnsi"/>
        </w:rPr>
      </w:pPr>
      <w:r w:rsidRPr="008B43F6">
        <w:rPr>
          <w:rFonts w:eastAsia="Times New Roman" w:cstheme="minorHAnsi"/>
        </w:rPr>
        <w:t xml:space="preserve">El sector de edificios residenciales y comerciales ha sido descrito por el Panel Intergubernamental sobre el Cambio Climático (IPCC) como el que tiene el mayor potencial para reducir gases de efecto invernadero (GEI) de manera rentable en el corto plazo, utilizando tecnologías disponibles y maduras. Al mismo tiempo, el IPCC señala que en un </w:t>
      </w:r>
      <w:r w:rsidR="00BF0BE8" w:rsidRPr="008B43F6">
        <w:rPr>
          <w:rFonts w:eastAsia="Times New Roman" w:cstheme="minorHAnsi"/>
        </w:rPr>
        <w:t>Escenario</w:t>
      </w:r>
      <w:r w:rsidRPr="008B43F6">
        <w:rPr>
          <w:rFonts w:eastAsia="Times New Roman" w:cstheme="minorHAnsi"/>
        </w:rPr>
        <w:t xml:space="preserve"> de alto crecimiento, el total de las emisiones de GEI relacionadas a los edificios podría duplicarse para el año 2030. La vivienda es, por lo tanto, un factor significativo en las emisiones de gases de efecto invernadero y el cambio climático </w:t>
      </w:r>
      <w:r w:rsidRPr="008B43F6">
        <w:fldChar w:fldCharType="begin"/>
      </w:r>
      <w:r w:rsidRPr="008B43F6">
        <w:instrText xml:space="preserve"> ADDIN EN.CITE &lt;EndNote&gt;&lt;Cite&gt;&lt;Author&gt;Röbbel&lt;/Author&gt;&lt;Year&gt;2011&lt;/Year&gt;&lt;RecNum&gt;16&lt;/RecNum&gt;&lt;DisplayText&gt;[1]&lt;/DisplayText&gt;&lt;record&gt;&lt;rec-number&gt;16&lt;/rec-number&gt;&lt;foreign-keys&gt;&lt;key app="EN" db-id="w0w9edzzlxxfdgesvf359ft8wzxverspwaav"&gt;16&lt;/key&gt;&lt;/foreign-keys&gt;&lt;ref-type name="Report"&gt;27&lt;/ref-type&gt;&lt;contributors&gt;&lt;authors&gt;&lt;author&gt;Nathalie Röbbel&lt;/author&gt;&lt;/authors&gt;&lt;/contributors&gt;&lt;titles&gt;&lt;title&gt;Health co-benefits of climate change mitigation – Housing sector&lt;/title&gt;&lt;secondary-title&gt;Health in the green economy&lt;/secondary-title&gt;&lt;/titles&gt;&lt;dates&gt;&lt;year&gt;2011&lt;/year&gt;&lt;/dates&gt;&lt;pub-location&gt;Geneva, Switzerland&lt;/pub-location&gt;&lt;publisher&gt;World Health Organization&lt;/publisher&gt;&lt;urls&gt;&lt;related-urls&gt;&lt;url&gt;http://whqlibdoc.who.int/publications/2011/9789241501712_eng.pdf&lt;/url&gt;&lt;/related-urls&gt;&lt;/urls&gt;&lt;/record&gt;&lt;/Cite&gt;&lt;/EndNote&gt;</w:instrText>
      </w:r>
      <w:r w:rsidRPr="008B43F6">
        <w:fldChar w:fldCharType="separate"/>
      </w:r>
      <w:r w:rsidRPr="008B43F6">
        <w:rPr>
          <w:noProof/>
        </w:rPr>
        <w:t>[</w:t>
      </w:r>
      <w:hyperlink w:anchor="_ENREF_1" w:tooltip="Röbbel, 2011 #16" w:history="1">
        <w:r w:rsidR="00251C87" w:rsidRPr="008B43F6">
          <w:rPr>
            <w:noProof/>
          </w:rPr>
          <w:t>1</w:t>
        </w:r>
      </w:hyperlink>
      <w:r w:rsidRPr="008B43F6">
        <w:rPr>
          <w:noProof/>
        </w:rPr>
        <w:t>]</w:t>
      </w:r>
      <w:r w:rsidRPr="008B43F6">
        <w:fldChar w:fldCharType="end"/>
      </w:r>
      <w:r w:rsidRPr="008B43F6">
        <w:t>.</w:t>
      </w:r>
    </w:p>
    <w:p w:rsidR="002C0CCF" w:rsidRPr="008B43F6" w:rsidRDefault="002C0CCF" w:rsidP="00C12621">
      <w:pPr>
        <w:spacing w:after="240"/>
        <w:jc w:val="both"/>
        <w:textAlignment w:val="center"/>
        <w:rPr>
          <w:rFonts w:eastAsia="Times New Roman" w:cstheme="minorHAnsi"/>
        </w:rPr>
      </w:pPr>
      <w:r w:rsidRPr="008B43F6">
        <w:rPr>
          <w:rFonts w:eastAsia="Times New Roman" w:cstheme="minorHAnsi"/>
        </w:rPr>
        <w:t xml:space="preserve">Asimismo, la población urbana mundial casi se duplicará para el año 2050, y la mayor parte de ese crecimiento tendrá lugar en países de bajos y medianos ingresos. Por lo tanto, la vivienda es un punto de entrada importante para abordar importantes problemas urbanos como la salud y la pobreza </w:t>
      </w:r>
      <w:r w:rsidRPr="008B43F6">
        <w:fldChar w:fldCharType="begin"/>
      </w:r>
      <w:r w:rsidRPr="008B43F6">
        <w:instrText xml:space="preserve"> ADDIN EN.CITE &lt;EndNote&gt;&lt;Cite&gt;&lt;Author&gt;Röbbel&lt;/Author&gt;&lt;Year&gt;2011&lt;/Year&gt;&lt;RecNum&gt;16&lt;/RecNum&gt;&lt;DisplayText&gt;[1]&lt;/DisplayText&gt;&lt;record&gt;&lt;rec-number&gt;16&lt;/rec-number&gt;&lt;foreign-keys&gt;&lt;key app="EN" db-id="w0w9edzzlxxfdgesvf359ft8wzxverspwaav"&gt;16&lt;/key&gt;&lt;/foreign-keys&gt;&lt;ref-type name="Report"&gt;27&lt;/ref-type&gt;&lt;contributors&gt;&lt;authors&gt;&lt;author&gt;Nathalie Röbbel&lt;/author&gt;&lt;/authors&gt;&lt;/contributors&gt;&lt;titles&gt;&lt;title&gt;Health co-benefits of climate change mitigation – Housing sector&lt;/title&gt;&lt;secondary-title&gt;Health in the green economy&lt;/secondary-title&gt;&lt;/titles&gt;&lt;dates&gt;&lt;year&gt;2011&lt;/year&gt;&lt;/dates&gt;&lt;pub-location&gt;Geneva, Switzerland&lt;/pub-location&gt;&lt;publisher&gt;World Health Organization&lt;/publisher&gt;&lt;urls&gt;&lt;related-urls&gt;&lt;url&gt;http://whqlibdoc.who.int/publications/2011/9789241501712_eng.pdf&lt;/url&gt;&lt;/related-urls&gt;&lt;/urls&gt;&lt;/record&gt;&lt;/Cite&gt;&lt;/EndNote&gt;</w:instrText>
      </w:r>
      <w:r w:rsidRPr="008B43F6">
        <w:fldChar w:fldCharType="separate"/>
      </w:r>
      <w:r w:rsidRPr="008B43F6">
        <w:rPr>
          <w:noProof/>
        </w:rPr>
        <w:t>[</w:t>
      </w:r>
      <w:hyperlink w:anchor="_ENREF_1" w:tooltip="Röbbel, 2011 #16" w:history="1">
        <w:r w:rsidR="00251C87" w:rsidRPr="008B43F6">
          <w:rPr>
            <w:noProof/>
          </w:rPr>
          <w:t>1</w:t>
        </w:r>
      </w:hyperlink>
      <w:r w:rsidRPr="008B43F6">
        <w:rPr>
          <w:noProof/>
        </w:rPr>
        <w:t>]</w:t>
      </w:r>
      <w:r w:rsidRPr="008B43F6">
        <w:fldChar w:fldCharType="end"/>
      </w:r>
      <w:r w:rsidRPr="008B43F6">
        <w:rPr>
          <w:rFonts w:eastAsia="Times New Roman" w:cstheme="minorHAnsi"/>
        </w:rPr>
        <w:t>.</w:t>
      </w:r>
    </w:p>
    <w:p w:rsidR="002C0CCF" w:rsidRPr="008B43F6" w:rsidRDefault="002C0CCF" w:rsidP="00C12621">
      <w:pPr>
        <w:pStyle w:val="Ttulo2"/>
        <w:spacing w:before="0" w:after="240"/>
        <w:jc w:val="both"/>
        <w:rPr>
          <w:rFonts w:asciiTheme="minorHAnsi" w:eastAsia="Times New Roman" w:hAnsiTheme="minorHAnsi"/>
          <w:sz w:val="22"/>
          <w:szCs w:val="22"/>
        </w:rPr>
      </w:pPr>
      <w:bookmarkStart w:id="9" w:name="_Toc349275374"/>
      <w:bookmarkStart w:id="10" w:name="_Toc348746409"/>
      <w:bookmarkStart w:id="11" w:name="_Toc350212857"/>
      <w:bookmarkStart w:id="12" w:name="_Toc350874956"/>
      <w:bookmarkStart w:id="13" w:name="_Toc351397568"/>
      <w:r w:rsidRPr="008B43F6">
        <w:rPr>
          <w:rFonts w:asciiTheme="minorHAnsi" w:eastAsia="Times New Roman" w:hAnsiTheme="minorHAnsi"/>
          <w:sz w:val="22"/>
          <w:szCs w:val="22"/>
        </w:rPr>
        <w:t>1.2 Co-beneficios de la vivienda sustentable</w:t>
      </w:r>
      <w:bookmarkEnd w:id="9"/>
      <w:bookmarkEnd w:id="10"/>
      <w:bookmarkEnd w:id="11"/>
      <w:bookmarkEnd w:id="12"/>
      <w:bookmarkEnd w:id="13"/>
    </w:p>
    <w:p w:rsidR="002C0CCF" w:rsidRPr="008B43F6" w:rsidRDefault="002C0CCF" w:rsidP="00C12621">
      <w:pPr>
        <w:spacing w:after="240"/>
        <w:jc w:val="both"/>
        <w:textAlignment w:val="center"/>
        <w:rPr>
          <w:rFonts w:eastAsia="Times New Roman" w:cstheme="minorHAnsi"/>
        </w:rPr>
      </w:pPr>
      <w:r w:rsidRPr="008B43F6">
        <w:rPr>
          <w:rFonts w:eastAsia="Times New Roman" w:cstheme="minorHAnsi"/>
        </w:rPr>
        <w:t xml:space="preserve">Los edificios son un aspecto importante en la vida de las personas y en el uso de energía primaria, que proviene de proveer comodidad, luz, refrigeración, agua caliente y otros usos finales de energía. Esta energía normalmente es proveniente de combustibles fósiles, que contribuyen de manera significativa, a la totalidad de las emisiones de gases de efecto invernadero (GEI) generados por la actividad humana. </w:t>
      </w:r>
    </w:p>
    <w:p w:rsidR="002C0CCF" w:rsidRPr="008B43F6" w:rsidRDefault="002C0CCF" w:rsidP="00C12621">
      <w:pPr>
        <w:spacing w:after="240"/>
        <w:jc w:val="both"/>
        <w:textAlignment w:val="center"/>
        <w:rPr>
          <w:rFonts w:eastAsia="Times New Roman" w:cstheme="minorHAnsi"/>
        </w:rPr>
      </w:pPr>
      <w:r w:rsidRPr="008B43F6">
        <w:rPr>
          <w:rFonts w:eastAsia="Times New Roman" w:cstheme="minorHAnsi"/>
        </w:rPr>
        <w:t>El hacer uso de la tecnología disponible para satisfacer las necesidades en la vivienda con menos energía primaria, es un elemento clave en la estrategia global para reducir el impacto que la actividad humana tiene sobre los niveles de emisión de gases de efecto invernadero que afectan al clima a nivel global.</w:t>
      </w:r>
    </w:p>
    <w:p w:rsidR="002C0CCF" w:rsidRPr="008B43F6" w:rsidRDefault="002C0CCF" w:rsidP="00C12621">
      <w:pPr>
        <w:spacing w:after="240"/>
        <w:jc w:val="both"/>
        <w:textAlignment w:val="center"/>
        <w:rPr>
          <w:rFonts w:eastAsia="Times New Roman" w:cstheme="minorHAnsi"/>
          <w:bCs/>
        </w:rPr>
      </w:pPr>
      <w:r w:rsidRPr="008B43F6">
        <w:rPr>
          <w:rFonts w:eastAsia="Times New Roman" w:cstheme="minorHAnsi"/>
        </w:rPr>
        <w:t>Asimismo, al modificar nuestra manera de utilizar la energía surgen una amplia gama de efectos que no están directamente relacionados con las emisiones de GEI y que son favorables al bienestar humano, incluyendo la salud y patrones macro-económicos, geopolíticos, de ecosistemas, de rendimientos agrícolas y de empleo. Los efectos que son favorables para el bienestar humano que derivan de medidas de mitigación se conocen con el nombre de</w:t>
      </w:r>
      <w:r w:rsidRPr="008B43F6">
        <w:rPr>
          <w:rFonts w:eastAsia="Times New Roman" w:cstheme="minorHAnsi"/>
          <w:b/>
          <w:bCs/>
        </w:rPr>
        <w:t xml:space="preserve"> </w:t>
      </w:r>
      <w:r w:rsidRPr="008B43F6">
        <w:rPr>
          <w:rFonts w:eastAsia="Times New Roman" w:cstheme="minorHAnsi"/>
          <w:bCs/>
        </w:rPr>
        <w:t xml:space="preserve">co-beneficios </w:t>
      </w:r>
      <w:r w:rsidRPr="008B43F6">
        <w:rPr>
          <w:rFonts w:eastAsia="Times New Roman" w:cstheme="minorHAnsi"/>
          <w:bCs/>
        </w:rPr>
        <w:fldChar w:fldCharType="begin"/>
      </w:r>
      <w:r w:rsidRPr="008B43F6">
        <w:rPr>
          <w:rFonts w:eastAsia="Times New Roman" w:cstheme="minorHAnsi"/>
          <w:bCs/>
        </w:rPr>
        <w:instrText xml:space="preserve"> ADDIN EN.CITE &lt;EndNote&gt;&lt;Cite&gt;&lt;Author&gt;Levine&lt;/Author&gt;&lt;Year&gt;2007&lt;/Year&gt;&lt;RecNum&gt;15&lt;/RecNum&gt;&lt;DisplayText&gt;[2]&lt;/DisplayText&gt;&lt;record&gt;&lt;rec-number&gt;15&lt;/rec-number&gt;&lt;foreign-keys&gt;&lt;key app="EN" db-id="w0w9edzzlxxfdgesvf359ft8wzxverspwaav"&gt;15&lt;/key&gt;&lt;/foreign-keys&gt;&lt;ref-type name="Report"&gt;27&lt;/ref-type&gt;&lt;contributors&gt;&lt;authors&gt;&lt;author&gt;Levine, M.&lt;/author&gt;&lt;author&gt; D. Ürge-Vorsatz&lt;/author&gt;&lt;author&gt; K. Blok&lt;/author&gt;&lt;author&gt; L. Geng&lt;/author&gt;&lt;author&gt; D. Harvey&lt;/author&gt;&lt;author&gt; S. Lang, G. Levermore&lt;/author&gt;&lt;author&gt; A. Mongameli Mehlwana&lt;/author&gt;&lt;author&gt; S. Mirasgedis&lt;/author&gt;&lt;author&gt; A. Novikova&lt;/author&gt;&lt;author&gt; J. Rilling&lt;/author&gt;&lt;author&gt; H. Yoshino&lt;/author&gt;&lt;/authors&gt;&lt;/contributors&gt;&lt;titles&gt;&lt;title&gt;Residential and commercial buildings. In Climate Change 2007: Mitigation. Contribution of Working Group III to the Fourth Assessment Report of the Intergovernmental Panel on Climate Change&lt;/title&gt;&lt;/titles&gt;&lt;dates&gt;&lt;year&gt;2007&lt;/year&gt;&lt;/dates&gt;&lt;pub-location&gt;Cambridge, United Kingdom and New York, NY, USA.&lt;/pub-location&gt;&lt;publisher&gt;Cambridge University Press&lt;/publisher&gt;&lt;urls&gt;&lt;related-urls&gt;&lt;url&gt;http://www.ipcc.ch/publications_and_data/ar4/wg3/en/ch6s6-6.html&lt;/url&gt;&lt;/related-urls&gt;&lt;/urls&gt;&lt;custom1&gt;6.6 Co-benefits of GHG mitigation in the residential and commercial sectors&lt;/custom1&gt;&lt;/record&gt;&lt;/Cite&gt;&lt;/EndNote&gt;</w:instrText>
      </w:r>
      <w:r w:rsidRPr="008B43F6">
        <w:rPr>
          <w:rFonts w:eastAsia="Times New Roman" w:cstheme="minorHAnsi"/>
          <w:bCs/>
        </w:rPr>
        <w:fldChar w:fldCharType="separate"/>
      </w:r>
      <w:r w:rsidRPr="008B43F6">
        <w:rPr>
          <w:rFonts w:eastAsia="Times New Roman" w:cstheme="minorHAnsi"/>
          <w:bCs/>
          <w:noProof/>
        </w:rPr>
        <w:t>[</w:t>
      </w:r>
      <w:hyperlink w:anchor="_ENREF_2" w:tooltip="Levine, 2007 #15" w:history="1">
        <w:r w:rsidR="00251C87" w:rsidRPr="008B43F6">
          <w:rPr>
            <w:rFonts w:eastAsia="Times New Roman" w:cstheme="minorHAnsi"/>
            <w:bCs/>
            <w:noProof/>
          </w:rPr>
          <w:t>2</w:t>
        </w:r>
      </w:hyperlink>
      <w:r w:rsidRPr="008B43F6">
        <w:rPr>
          <w:rFonts w:eastAsia="Times New Roman" w:cstheme="minorHAnsi"/>
          <w:bCs/>
          <w:noProof/>
        </w:rPr>
        <w:t>]</w:t>
      </w:r>
      <w:r w:rsidRPr="008B43F6">
        <w:rPr>
          <w:rFonts w:eastAsia="Times New Roman" w:cstheme="minorHAnsi"/>
          <w:bCs/>
        </w:rPr>
        <w:fldChar w:fldCharType="end"/>
      </w:r>
      <w:r w:rsidRPr="008B43F6">
        <w:rPr>
          <w:rFonts w:eastAsia="Times New Roman" w:cstheme="minorHAnsi"/>
          <w:bCs/>
        </w:rPr>
        <w:t xml:space="preserve">. </w:t>
      </w:r>
    </w:p>
    <w:p w:rsidR="002C0CCF" w:rsidRPr="008B43F6" w:rsidRDefault="002C0CCF" w:rsidP="00C12621">
      <w:pPr>
        <w:spacing w:after="240"/>
        <w:jc w:val="both"/>
        <w:textAlignment w:val="center"/>
        <w:rPr>
          <w:rFonts w:eastAsia="Times New Roman" w:cstheme="minorHAnsi"/>
        </w:rPr>
      </w:pPr>
      <w:r w:rsidRPr="008B43F6">
        <w:rPr>
          <w:rFonts w:eastAsia="Times New Roman" w:cstheme="minorHAnsi"/>
        </w:rPr>
        <w:lastRenderedPageBreak/>
        <w:t xml:space="preserve">Existen indicios de que en el sector de la construcción y edificios los co-beneficios son particularmente grandes </w:t>
      </w:r>
      <w:r w:rsidRPr="008B43F6">
        <w:rPr>
          <w:rFonts w:eastAsia="Times New Roman" w:cstheme="minorHAnsi"/>
        </w:rPr>
        <w:fldChar w:fldCharType="begin"/>
      </w:r>
      <w:r w:rsidRPr="008B43F6">
        <w:rPr>
          <w:rFonts w:eastAsia="Times New Roman" w:cstheme="minorHAnsi"/>
        </w:rPr>
        <w:instrText xml:space="preserve"> ADDIN EN.CITE &lt;EndNote&gt;&lt;Cite&gt;&lt;Author&gt;Levine&lt;/Author&gt;&lt;Year&gt;2007&lt;/Year&gt;&lt;RecNum&gt;15&lt;/RecNum&gt;&lt;DisplayText&gt;[2]&lt;/DisplayText&gt;&lt;record&gt;&lt;rec-number&gt;15&lt;/rec-number&gt;&lt;foreign-keys&gt;&lt;key app="EN" db-id="w0w9edzzlxxfdgesvf359ft8wzxverspwaav"&gt;15&lt;/key&gt;&lt;/foreign-keys&gt;&lt;ref-type name="Report"&gt;27&lt;/ref-type&gt;&lt;contributors&gt;&lt;authors&gt;&lt;author&gt;Levine, M.&lt;/author&gt;&lt;author&gt; D. Ürge-Vorsatz&lt;/author&gt;&lt;author&gt; K. Blok&lt;/author&gt;&lt;author&gt; L. Geng&lt;/author&gt;&lt;author&gt; D. Harvey&lt;/author&gt;&lt;author&gt; S. Lang, G. Levermore&lt;/author&gt;&lt;author&gt; A. Mongameli Mehlwana&lt;/author&gt;&lt;author&gt; S. Mirasgedis&lt;/author&gt;&lt;author&gt; A. Novikova&lt;/author&gt;&lt;author&gt; J. Rilling&lt;/author&gt;&lt;author&gt; H. Yoshino&lt;/author&gt;&lt;/authors&gt;&lt;/contributors&gt;&lt;titles&gt;&lt;title&gt;Residential and commercial buildings. In Climate Change 2007: Mitigation. Contribution of Working Group III to the Fourth Assessment Report of the Intergovernmental Panel on Climate Change&lt;/title&gt;&lt;/titles&gt;&lt;dates&gt;&lt;year&gt;2007&lt;/year&gt;&lt;/dates&gt;&lt;pub-location&gt;Cambridge, United Kingdom and New York, NY, USA.&lt;/pub-location&gt;&lt;publisher&gt;Cambridge University Press&lt;/publisher&gt;&lt;urls&gt;&lt;related-urls&gt;&lt;url&gt;http://www.ipcc.ch/publications_and_data/ar4/wg3/en/ch6s6-6.html&lt;/url&gt;&lt;/related-urls&gt;&lt;/urls&gt;&lt;custom1&gt;6.6 Co-benefits of GHG mitigation in the residential and commercial sectors&lt;/custom1&gt;&lt;/record&gt;&lt;/Cite&gt;&lt;/EndNote&gt;</w:instrText>
      </w:r>
      <w:r w:rsidRPr="008B43F6">
        <w:rPr>
          <w:rFonts w:eastAsia="Times New Roman" w:cstheme="minorHAnsi"/>
        </w:rPr>
        <w:fldChar w:fldCharType="separate"/>
      </w:r>
      <w:r w:rsidRPr="008B43F6">
        <w:rPr>
          <w:rFonts w:eastAsia="Times New Roman" w:cstheme="minorHAnsi"/>
          <w:noProof/>
        </w:rPr>
        <w:t>[</w:t>
      </w:r>
      <w:hyperlink w:anchor="_ENREF_2" w:tooltip="Levine, 2007 #15" w:history="1">
        <w:r w:rsidR="00251C87" w:rsidRPr="008B43F6">
          <w:rPr>
            <w:rFonts w:eastAsia="Times New Roman" w:cstheme="minorHAnsi"/>
            <w:noProof/>
          </w:rPr>
          <w:t>2</w:t>
        </w:r>
      </w:hyperlink>
      <w:r w:rsidRPr="008B43F6">
        <w:rPr>
          <w:rFonts w:eastAsia="Times New Roman" w:cstheme="minorHAnsi"/>
          <w:noProof/>
        </w:rPr>
        <w:t>]</w:t>
      </w:r>
      <w:r w:rsidRPr="008B43F6">
        <w:rPr>
          <w:rFonts w:eastAsia="Times New Roman" w:cstheme="minorHAnsi"/>
        </w:rPr>
        <w:fldChar w:fldCharType="end"/>
      </w:r>
      <w:r w:rsidRPr="008B43F6">
        <w:rPr>
          <w:rFonts w:eastAsia="Times New Roman" w:cstheme="minorHAnsi"/>
        </w:rPr>
        <w:t xml:space="preserve">. Algunos estudios sugieren que, en muchos casos, su valor total puede superar el de los beneficios energéticos directos relacionados con el mejoramiento de la eficiencia energética de los edificios </w:t>
      </w:r>
      <w:r w:rsidRPr="008B43F6">
        <w:rPr>
          <w:rFonts w:eastAsia="Times New Roman" w:cstheme="minorHAnsi"/>
        </w:rPr>
        <w:fldChar w:fldCharType="begin"/>
      </w:r>
      <w:r w:rsidRPr="008B43F6">
        <w:rPr>
          <w:rFonts w:eastAsia="Times New Roman" w:cstheme="minorHAnsi"/>
        </w:rPr>
        <w:instrText xml:space="preserve"> ADDIN EN.CITE &lt;EndNote&gt;&lt;Cite&gt;&lt;Author&gt;Röbbel&lt;/Author&gt;&lt;Year&gt;2011&lt;/Year&gt;&lt;RecNum&gt;16&lt;/RecNum&gt;&lt;DisplayText&gt;[1]&lt;/DisplayText&gt;&lt;record&gt;&lt;rec-number&gt;16&lt;/rec-number&gt;&lt;foreign-keys&gt;&lt;key app="EN" db-id="w0w9edzzlxxfdgesvf359ft8wzxverspwaav"&gt;16&lt;/key&gt;&lt;/foreign-keys&gt;&lt;ref-type name="Report"&gt;27&lt;/ref-type&gt;&lt;contributors&gt;&lt;authors&gt;&lt;author&gt;Nathalie Röbbel&lt;/author&gt;&lt;/authors&gt;&lt;/contributors&gt;&lt;titles&gt;&lt;title&gt;Health co-benefits of climate change mitigation – Housing sector&lt;/title&gt;&lt;secondary-title&gt;Health in the green economy&lt;/secondary-title&gt;&lt;/titles&gt;&lt;dates&gt;&lt;year&gt;2011&lt;/year&gt;&lt;/dates&gt;&lt;pub-location&gt;Geneva, Switzerland&lt;/pub-location&gt;&lt;publisher&gt;World Health Organization&lt;/publisher&gt;&lt;urls&gt;&lt;related-urls&gt;&lt;url&gt;http://whqlibdoc.who.int/publications/2011/9789241501712_eng.pdf&lt;/url&gt;&lt;/related-urls&gt;&lt;/urls&gt;&lt;/record&gt;&lt;/Cite&gt;&lt;/EndNote&gt;</w:instrText>
      </w:r>
      <w:r w:rsidRPr="008B43F6">
        <w:rPr>
          <w:rFonts w:eastAsia="Times New Roman" w:cstheme="minorHAnsi"/>
        </w:rPr>
        <w:fldChar w:fldCharType="separate"/>
      </w:r>
      <w:r w:rsidRPr="008B43F6">
        <w:rPr>
          <w:rFonts w:eastAsia="Times New Roman" w:cstheme="minorHAnsi"/>
          <w:noProof/>
        </w:rPr>
        <w:t>[</w:t>
      </w:r>
      <w:hyperlink w:anchor="_ENREF_1" w:tooltip="Röbbel, 2011 #16" w:history="1">
        <w:r w:rsidR="00251C87" w:rsidRPr="008B43F6">
          <w:rPr>
            <w:rFonts w:eastAsia="Times New Roman" w:cstheme="minorHAnsi"/>
            <w:noProof/>
          </w:rPr>
          <w:t>1</w:t>
        </w:r>
      </w:hyperlink>
      <w:r w:rsidRPr="008B43F6">
        <w:rPr>
          <w:rFonts w:eastAsia="Times New Roman" w:cstheme="minorHAnsi"/>
          <w:noProof/>
        </w:rPr>
        <w:t>]</w:t>
      </w:r>
      <w:r w:rsidRPr="008B43F6">
        <w:rPr>
          <w:rFonts w:eastAsia="Times New Roman" w:cstheme="minorHAnsi"/>
        </w:rPr>
        <w:fldChar w:fldCharType="end"/>
      </w:r>
      <w:r w:rsidRPr="008B43F6">
        <w:rPr>
          <w:rFonts w:eastAsia="Times New Roman" w:cstheme="minorHAnsi"/>
        </w:rPr>
        <w:t xml:space="preserve">. Sin embargo, dichos beneficios rara vez se incluyen en el análisis de costo-beneficio para la evaluación de las políticas de eficiencia energética o de las opciones para la mitigación del cambio climático </w:t>
      </w:r>
      <w:r w:rsidRPr="008B43F6">
        <w:rPr>
          <w:rFonts w:eastAsia="Times New Roman" w:cstheme="minorHAnsi"/>
        </w:rPr>
        <w:fldChar w:fldCharType="begin"/>
      </w:r>
      <w:r w:rsidRPr="008B43F6">
        <w:rPr>
          <w:rFonts w:eastAsia="Times New Roman" w:cstheme="minorHAnsi"/>
        </w:rPr>
        <w:instrText xml:space="preserve"> ADDIN EN.CITE &lt;EndNote&gt;&lt;Cite&gt;&lt;Author&gt;Levine&lt;/Author&gt;&lt;Year&gt;2007&lt;/Year&gt;&lt;RecNum&gt;15&lt;/RecNum&gt;&lt;DisplayText&gt;[2]&lt;/DisplayText&gt;&lt;record&gt;&lt;rec-number&gt;15&lt;/rec-number&gt;&lt;foreign-keys&gt;&lt;key app="EN" db-id="w0w9edzzlxxfdgesvf359ft8wzxverspwaav"&gt;15&lt;/key&gt;&lt;/foreign-keys&gt;&lt;ref-type name="Report"&gt;27&lt;/ref-type&gt;&lt;contributors&gt;&lt;authors&gt;&lt;author&gt;Levine, M.&lt;/author&gt;&lt;author&gt; D. Ürge-Vorsatz&lt;/author&gt;&lt;author&gt; K. Blok&lt;/author&gt;&lt;author&gt; L. Geng&lt;/author&gt;&lt;author&gt; D. Harvey&lt;/author&gt;&lt;author&gt; S. Lang, G. Levermore&lt;/author&gt;&lt;author&gt; A. Mongameli Mehlwana&lt;/author&gt;&lt;author&gt; S. Mirasgedis&lt;/author&gt;&lt;author&gt; A. Novikova&lt;/author&gt;&lt;author&gt; J. Rilling&lt;/author&gt;&lt;author&gt; H. Yoshino&lt;/author&gt;&lt;/authors&gt;&lt;/contributors&gt;&lt;titles&gt;&lt;title&gt;Residential and commercial buildings. In Climate Change 2007: Mitigation. Contribution of Working Group III to the Fourth Assessment Report of the Intergovernmental Panel on Climate Change&lt;/title&gt;&lt;/titles&gt;&lt;dates&gt;&lt;year&gt;2007&lt;/year&gt;&lt;/dates&gt;&lt;pub-location&gt;Cambridge, United Kingdom and New York, NY, USA.&lt;/pub-location&gt;&lt;publisher&gt;Cambridge University Press&lt;/publisher&gt;&lt;urls&gt;&lt;related-urls&gt;&lt;url&gt;http://www.ipcc.ch/publications_and_data/ar4/wg3/en/ch6s6-6.html&lt;/url&gt;&lt;/related-urls&gt;&lt;/urls&gt;&lt;custom1&gt;6.6 Co-benefits of GHG mitigation in the residential and commercial sectors&lt;/custom1&gt;&lt;/record&gt;&lt;/Cite&gt;&lt;/EndNote&gt;</w:instrText>
      </w:r>
      <w:r w:rsidRPr="008B43F6">
        <w:rPr>
          <w:rFonts w:eastAsia="Times New Roman" w:cstheme="minorHAnsi"/>
        </w:rPr>
        <w:fldChar w:fldCharType="separate"/>
      </w:r>
      <w:r w:rsidRPr="008B43F6">
        <w:rPr>
          <w:rFonts w:eastAsia="Times New Roman" w:cstheme="minorHAnsi"/>
          <w:noProof/>
        </w:rPr>
        <w:t>[</w:t>
      </w:r>
      <w:hyperlink w:anchor="_ENREF_2" w:tooltip="Levine, 2007 #15" w:history="1">
        <w:r w:rsidR="00251C87" w:rsidRPr="008B43F6">
          <w:rPr>
            <w:rFonts w:eastAsia="Times New Roman" w:cstheme="minorHAnsi"/>
            <w:noProof/>
          </w:rPr>
          <w:t>2</w:t>
        </w:r>
      </w:hyperlink>
      <w:r w:rsidRPr="008B43F6">
        <w:rPr>
          <w:rFonts w:eastAsia="Times New Roman" w:cstheme="minorHAnsi"/>
          <w:noProof/>
        </w:rPr>
        <w:t>]</w:t>
      </w:r>
      <w:r w:rsidRPr="008B43F6">
        <w:rPr>
          <w:rFonts w:eastAsia="Times New Roman" w:cstheme="minorHAnsi"/>
        </w:rPr>
        <w:fldChar w:fldCharType="end"/>
      </w:r>
      <w:r w:rsidRPr="008B43F6">
        <w:rPr>
          <w:rFonts w:eastAsia="Times New Roman" w:cstheme="minorHAnsi"/>
        </w:rPr>
        <w:t>. Se trata de una omisión importante, ya que si al análisis de costo-beneficios se incorporaran los co-beneficios, podría cambiar sustancialmente el orden de prioridad o la viabilidad financiera de las opciones consideradas.</w:t>
      </w:r>
    </w:p>
    <w:p w:rsidR="002C0CCF" w:rsidRPr="008B43F6" w:rsidRDefault="002C0CCF" w:rsidP="00C12621">
      <w:pPr>
        <w:spacing w:after="240"/>
        <w:jc w:val="both"/>
        <w:textAlignment w:val="center"/>
        <w:rPr>
          <w:rFonts w:eastAsia="Times New Roman" w:cstheme="minorHAnsi"/>
          <w:b/>
          <w:bCs/>
        </w:rPr>
      </w:pPr>
      <w:r w:rsidRPr="008B43F6">
        <w:rPr>
          <w:rFonts w:eastAsia="Times New Roman" w:cstheme="minorHAnsi"/>
        </w:rPr>
        <w:t>Por lo tanto, si se toman en cuenta, los co-beneficios asociados con la mitigación de las emisiones de CO</w:t>
      </w:r>
      <w:r w:rsidRPr="008B43F6">
        <w:rPr>
          <w:rFonts w:eastAsia="Times New Roman" w:cstheme="minorHAnsi"/>
          <w:vertAlign w:val="subscript"/>
        </w:rPr>
        <w:t>2</w:t>
      </w:r>
      <w:r w:rsidRPr="008B43F6">
        <w:rPr>
          <w:rFonts w:eastAsia="Times New Roman" w:cstheme="minorHAnsi"/>
        </w:rPr>
        <w:t xml:space="preserve">, éstos pueden jugar un papel crucial para darle mayor prioridad a la mitigación de las emisiones de GEI, ya que comparten los costos con y contribuyen al logro de otros objetivos tanto a nivel mundial como nacional </w:t>
      </w:r>
      <w:r w:rsidRPr="008B43F6">
        <w:rPr>
          <w:rFonts w:eastAsia="Times New Roman" w:cstheme="minorHAnsi"/>
        </w:rPr>
        <w:fldChar w:fldCharType="begin"/>
      </w:r>
      <w:r w:rsidRPr="008B43F6">
        <w:rPr>
          <w:rFonts w:eastAsia="Times New Roman" w:cstheme="minorHAnsi"/>
        </w:rPr>
        <w:instrText xml:space="preserve"> ADDIN EN.CITE &lt;EndNote&gt;&lt;Cite&gt;&lt;Author&gt;Ürge-Vorsatz&lt;/Author&gt;&lt;Year&gt;2009&lt;/Year&gt;&lt;RecNum&gt;23&lt;/RecNum&gt;&lt;DisplayText&gt;[3]&lt;/DisplayText&gt;&lt;record&gt;&lt;rec-number&gt;23&lt;/rec-number&gt;&lt;foreign-keys&gt;&lt;key app="EN" db-id="w0w9edzzlxxfdgesvf359ft8wzxverspwaav"&gt;23&lt;/key&gt;&lt;/foreign-keys&gt;&lt;ref-type name="Conference Paper"&gt;47&lt;/ref-type&gt;&lt;contributors&gt;&lt;authors&gt;&lt;author&gt;Diana Ürge-Vorsatz&lt;/author&gt;&lt;author&gt;Aleksandra Novikova&lt;/author&gt;&lt;author&gt;Maria Sharmina&lt;/author&gt;&lt;/authors&gt;&lt;/contributors&gt;&lt;titles&gt;&lt;title&gt;Counting good: quantifying the co-benefits of improved efficiency in buildings&lt;/title&gt;&lt;secondary-title&gt;European Council for an Energy Efficient Economy&lt;/secondary-title&gt;&lt;/titles&gt;&lt;dates&gt;&lt;year&gt;2009&lt;/year&gt;&lt;/dates&gt;&lt;urls&gt;&lt;/urls&gt;&lt;custom1&gt;France&lt;/custom1&gt;&lt;/record&gt;&lt;/Cite&gt;&lt;/EndNote&gt;</w:instrText>
      </w:r>
      <w:r w:rsidRPr="008B43F6">
        <w:rPr>
          <w:rFonts w:eastAsia="Times New Roman" w:cstheme="minorHAnsi"/>
        </w:rPr>
        <w:fldChar w:fldCharType="separate"/>
      </w:r>
      <w:r w:rsidRPr="008B43F6">
        <w:rPr>
          <w:rFonts w:eastAsia="Times New Roman" w:cstheme="minorHAnsi"/>
          <w:noProof/>
        </w:rPr>
        <w:t>[</w:t>
      </w:r>
      <w:hyperlink w:anchor="_ENREF_3" w:tooltip="Ürge-Vorsatz, 2009 #23" w:history="1">
        <w:r w:rsidR="00251C87" w:rsidRPr="008B43F6">
          <w:rPr>
            <w:rFonts w:eastAsia="Times New Roman" w:cstheme="minorHAnsi"/>
            <w:noProof/>
          </w:rPr>
          <w:t>3</w:t>
        </w:r>
      </w:hyperlink>
      <w:r w:rsidRPr="008B43F6">
        <w:rPr>
          <w:rFonts w:eastAsia="Times New Roman" w:cstheme="minorHAnsi"/>
          <w:noProof/>
        </w:rPr>
        <w:t>]</w:t>
      </w:r>
      <w:r w:rsidRPr="008B43F6">
        <w:rPr>
          <w:rFonts w:eastAsia="Times New Roman" w:cstheme="minorHAnsi"/>
        </w:rPr>
        <w:fldChar w:fldCharType="end"/>
      </w:r>
      <w:r w:rsidRPr="008B43F6">
        <w:rPr>
          <w:rFonts w:eastAsia="Times New Roman" w:cstheme="minorHAnsi"/>
        </w:rPr>
        <w:t>.</w:t>
      </w:r>
    </w:p>
    <w:p w:rsidR="002C0CCF" w:rsidRPr="008B43F6" w:rsidRDefault="002C0CCF" w:rsidP="00C12621">
      <w:pPr>
        <w:spacing w:after="240"/>
        <w:jc w:val="both"/>
        <w:textAlignment w:val="center"/>
        <w:rPr>
          <w:rFonts w:eastAsia="Times New Roman" w:cstheme="minorHAnsi"/>
        </w:rPr>
      </w:pPr>
      <w:r w:rsidRPr="008B43F6">
        <w:rPr>
          <w:rFonts w:eastAsia="Times New Roman" w:cstheme="minorHAnsi"/>
        </w:rPr>
        <w:t>Los co-beneficios de la mitigación de las emisiones de CO</w:t>
      </w:r>
      <w:r w:rsidRPr="008B43F6">
        <w:rPr>
          <w:rFonts w:eastAsia="Times New Roman" w:cstheme="minorHAnsi"/>
          <w:vertAlign w:val="subscript"/>
        </w:rPr>
        <w:t>2</w:t>
      </w:r>
      <w:r w:rsidRPr="008B43F6">
        <w:rPr>
          <w:rFonts w:eastAsia="Times New Roman" w:cstheme="minorHAnsi"/>
        </w:rPr>
        <w:t xml:space="preserve"> en edificios residenciales son numerosos (ver Anexo </w:t>
      </w:r>
      <w:r w:rsidR="002F4E7A" w:rsidRPr="008B43F6">
        <w:rPr>
          <w:rFonts w:eastAsia="Times New Roman" w:cstheme="minorHAnsi"/>
        </w:rPr>
        <w:t>II</w:t>
      </w:r>
      <w:r w:rsidRPr="008B43F6">
        <w:rPr>
          <w:rFonts w:eastAsia="Times New Roman" w:cstheme="minorHAnsi"/>
        </w:rPr>
        <w:t xml:space="preserve">). A menudo no es posible compartimentarlos totalmente ya que es inevitable que algunos de ellos se traslapen. A veces uno es el resultado de otro (por ejemplo, una mejoría en las condiciones de salud, como resultado de la reducción de la contaminación del aire). Asimismo, la mayoría de los estudios existentes no proporcionan una clasificación explícita de los beneficios en el sector de la construcción; normalmente, los estudios se centran en una selección de estudios de caso por países o enumeran los co-beneficios que consideran más importantes </w:t>
      </w:r>
      <w:r w:rsidRPr="008B43F6">
        <w:rPr>
          <w:rFonts w:eastAsia="Times New Roman" w:cstheme="minorHAnsi"/>
        </w:rPr>
        <w:fldChar w:fldCharType="begin"/>
      </w:r>
      <w:r w:rsidRPr="008B43F6">
        <w:rPr>
          <w:rFonts w:eastAsia="Times New Roman" w:cstheme="minorHAnsi"/>
        </w:rPr>
        <w:instrText xml:space="preserve"> ADDIN EN.CITE &lt;EndNote&gt;&lt;Cite&gt;&lt;Author&gt;Ürge-Vorsatz&lt;/Author&gt;&lt;Year&gt;2009&lt;/Year&gt;&lt;RecNum&gt;23&lt;/RecNum&gt;&lt;DisplayText&gt;[3]&lt;/DisplayText&gt;&lt;record&gt;&lt;rec-number&gt;23&lt;/rec-number&gt;&lt;foreign-keys&gt;&lt;key app="EN" db-id="w0w9edzzlxxfdgesvf359ft8wzxverspwaav"&gt;23&lt;/key&gt;&lt;/foreign-keys&gt;&lt;ref-type name="Conference Paper"&gt;47&lt;/ref-type&gt;&lt;contributors&gt;&lt;authors&gt;&lt;author&gt;Diana Ürge-Vorsatz&lt;/author&gt;&lt;author&gt;Aleksandra Novikova&lt;/author&gt;&lt;author&gt;Maria Sharmina&lt;/author&gt;&lt;/authors&gt;&lt;/contributors&gt;&lt;titles&gt;&lt;title&gt;Counting good: quantifying the co-benefits of improved efficiency in buildings&lt;/title&gt;&lt;secondary-title&gt;European Council for an Energy Efficient Economy&lt;/secondary-title&gt;&lt;/titles&gt;&lt;dates&gt;&lt;year&gt;2009&lt;/year&gt;&lt;/dates&gt;&lt;urls&gt;&lt;/urls&gt;&lt;custom1&gt;France&lt;/custom1&gt;&lt;/record&gt;&lt;/Cite&gt;&lt;/EndNote&gt;</w:instrText>
      </w:r>
      <w:r w:rsidRPr="008B43F6">
        <w:rPr>
          <w:rFonts w:eastAsia="Times New Roman" w:cstheme="minorHAnsi"/>
        </w:rPr>
        <w:fldChar w:fldCharType="separate"/>
      </w:r>
      <w:r w:rsidRPr="008B43F6">
        <w:rPr>
          <w:rFonts w:eastAsia="Times New Roman" w:cstheme="minorHAnsi"/>
          <w:noProof/>
        </w:rPr>
        <w:t>[</w:t>
      </w:r>
      <w:hyperlink w:anchor="_ENREF_3" w:tooltip="Ürge-Vorsatz, 2009 #23" w:history="1">
        <w:r w:rsidR="00251C87" w:rsidRPr="008B43F6">
          <w:rPr>
            <w:rFonts w:eastAsia="Times New Roman" w:cstheme="minorHAnsi"/>
            <w:noProof/>
          </w:rPr>
          <w:t>3</w:t>
        </w:r>
      </w:hyperlink>
      <w:r w:rsidRPr="008B43F6">
        <w:rPr>
          <w:rFonts w:eastAsia="Times New Roman" w:cstheme="minorHAnsi"/>
          <w:noProof/>
        </w:rPr>
        <w:t>]</w:t>
      </w:r>
      <w:r w:rsidRPr="008B43F6">
        <w:rPr>
          <w:rFonts w:eastAsia="Times New Roman" w:cstheme="minorHAnsi"/>
        </w:rPr>
        <w:fldChar w:fldCharType="end"/>
      </w:r>
      <w:r w:rsidRPr="008B43F6">
        <w:rPr>
          <w:rFonts w:eastAsia="Times New Roman" w:cstheme="minorHAnsi"/>
        </w:rPr>
        <w:t>.</w:t>
      </w:r>
    </w:p>
    <w:p w:rsidR="002C0CCF" w:rsidRPr="008B43F6" w:rsidRDefault="002C0CCF" w:rsidP="00C12621">
      <w:pPr>
        <w:spacing w:after="240"/>
        <w:jc w:val="both"/>
        <w:rPr>
          <w:rFonts w:cstheme="minorHAnsi"/>
        </w:rPr>
      </w:pPr>
      <w:r w:rsidRPr="008B43F6">
        <w:rPr>
          <w:rFonts w:cstheme="minorHAnsi"/>
        </w:rPr>
        <w:t xml:space="preserve">Para este proyecto, los co-beneficios serán clasificados en las siguientes categorías: económicos, de carácter social/político, de salud, de la compañía que provee servicios energéticos y ecológicos. Para mayor información, ver el Anexo </w:t>
      </w:r>
      <w:r w:rsidR="002F4E7A" w:rsidRPr="008B43F6">
        <w:rPr>
          <w:rFonts w:cstheme="minorHAnsi"/>
        </w:rPr>
        <w:t>II</w:t>
      </w:r>
      <w:r w:rsidRPr="008B43F6">
        <w:rPr>
          <w:rFonts w:cstheme="minorHAnsi"/>
        </w:rPr>
        <w:t>.</w:t>
      </w:r>
    </w:p>
    <w:p w:rsidR="002C0CCF" w:rsidRPr="008B43F6" w:rsidRDefault="002C0CCF" w:rsidP="00C12621">
      <w:pPr>
        <w:pStyle w:val="Ttulo2"/>
        <w:jc w:val="both"/>
        <w:rPr>
          <w:rFonts w:asciiTheme="minorHAnsi" w:hAnsiTheme="minorHAnsi"/>
        </w:rPr>
      </w:pPr>
      <w:bookmarkStart w:id="14" w:name="_Toc350212858"/>
      <w:bookmarkStart w:id="15" w:name="_Toc350874957"/>
      <w:bookmarkStart w:id="16" w:name="_Toc351397569"/>
      <w:r w:rsidRPr="008B43F6">
        <w:rPr>
          <w:rFonts w:asciiTheme="minorHAnsi" w:hAnsiTheme="minorHAnsi"/>
          <w:sz w:val="22"/>
        </w:rPr>
        <w:t>1.3 Estructura del reporte</w:t>
      </w:r>
      <w:bookmarkEnd w:id="14"/>
      <w:bookmarkEnd w:id="15"/>
      <w:bookmarkEnd w:id="16"/>
    </w:p>
    <w:p w:rsidR="002C0CCF" w:rsidRPr="008B43F6" w:rsidRDefault="002C0CCF" w:rsidP="00C12621">
      <w:pPr>
        <w:spacing w:after="240"/>
        <w:jc w:val="both"/>
      </w:pPr>
      <w:r w:rsidRPr="008B43F6">
        <w:t xml:space="preserve">En este estudio se identifican y, cuando es posible, se cuantifican, los co-beneficios de un programa de construcción de vivienda sustentable para el </w:t>
      </w:r>
      <w:r w:rsidR="00874C62" w:rsidRPr="008B43F6">
        <w:t>México</w:t>
      </w:r>
      <w:r w:rsidRPr="008B43F6">
        <w:t>, lo que debe servir a que los responsables de la elaboración de políticas, los expertos en energía, los ejecutores de programas y los defensores de la construcción energéticamente eficiente, puedan dar una validación plena de las oportunidades que se presentan a través de la construcción sustentable.</w:t>
      </w:r>
    </w:p>
    <w:p w:rsidR="002C0CCF" w:rsidRPr="008B43F6" w:rsidRDefault="002C0CCF" w:rsidP="00C12621">
      <w:pPr>
        <w:spacing w:after="240"/>
        <w:jc w:val="both"/>
      </w:pPr>
      <w:r w:rsidRPr="008B43F6">
        <w:t xml:space="preserve">En el capítulo 2 se presenta un contexto general sobre la situación social, de energía, medio ambiente y vivienda en México. En el capítulo 3 se resumen las políticas públicas  nacionales que tienen sinergias con el desarrollo de un programa de vivienda verde. En el capítulo 4 se establecen las consideraciones y la información de referencia tomada en cuenta para construir los </w:t>
      </w:r>
      <w:r w:rsidR="00BF0BE8" w:rsidRPr="008B43F6">
        <w:t>Escenario</w:t>
      </w:r>
      <w:r w:rsidRPr="008B43F6">
        <w:t xml:space="preserve">s del programa de vivienda. El capítulo 5 describe los </w:t>
      </w:r>
      <w:r w:rsidR="00BF0BE8" w:rsidRPr="008B43F6">
        <w:t>Escenario</w:t>
      </w:r>
      <w:r w:rsidRPr="008B43F6">
        <w:t>s desarrollados y en el 6 se presentan los resultados. En el capítulo 7 se delinean las conclusiones y recomendaciones del estudio.</w:t>
      </w:r>
    </w:p>
    <w:p w:rsidR="002C0CCF" w:rsidRPr="008B43F6" w:rsidRDefault="002C0CCF" w:rsidP="00C12621">
      <w:pPr>
        <w:spacing w:after="240"/>
        <w:jc w:val="both"/>
      </w:pPr>
    </w:p>
    <w:p w:rsidR="002C0CCF" w:rsidRPr="008B43F6" w:rsidRDefault="002C0CCF" w:rsidP="00C12621">
      <w:pPr>
        <w:jc w:val="both"/>
      </w:pPr>
    </w:p>
    <w:p w:rsidR="008B6262" w:rsidRPr="008B43F6" w:rsidRDefault="007047A4" w:rsidP="00C12621">
      <w:pPr>
        <w:pStyle w:val="Ttulo1"/>
        <w:numPr>
          <w:ilvl w:val="0"/>
          <w:numId w:val="18"/>
        </w:numPr>
        <w:jc w:val="both"/>
        <w:rPr>
          <w:rFonts w:asciiTheme="minorHAnsi" w:hAnsiTheme="minorHAnsi"/>
        </w:rPr>
      </w:pPr>
      <w:bookmarkStart w:id="17" w:name="_Toc349275375"/>
      <w:bookmarkStart w:id="18" w:name="_Toc348746410"/>
      <w:bookmarkStart w:id="19" w:name="_Toc350874958"/>
      <w:bookmarkStart w:id="20" w:name="_Toc351397570"/>
      <w:r w:rsidRPr="008B43F6">
        <w:rPr>
          <w:rFonts w:asciiTheme="minorHAnsi" w:hAnsiTheme="minorHAnsi"/>
        </w:rPr>
        <w:lastRenderedPageBreak/>
        <w:t>Contexto socio-económico, de vivienda, de energía y de medio ambiente de</w:t>
      </w:r>
      <w:bookmarkEnd w:id="17"/>
      <w:bookmarkEnd w:id="18"/>
      <w:r w:rsidRPr="008B43F6">
        <w:rPr>
          <w:rFonts w:asciiTheme="minorHAnsi" w:hAnsiTheme="minorHAnsi"/>
        </w:rPr>
        <w:t xml:space="preserve"> México</w:t>
      </w:r>
      <w:bookmarkEnd w:id="19"/>
      <w:bookmarkEnd w:id="20"/>
    </w:p>
    <w:p w:rsidR="008B6262" w:rsidRPr="008B43F6" w:rsidRDefault="008B6262" w:rsidP="00C12621">
      <w:pPr>
        <w:spacing w:after="240"/>
        <w:ind w:left="568"/>
        <w:jc w:val="both"/>
      </w:pPr>
      <w:r w:rsidRPr="008B43F6">
        <w:t xml:space="preserve">Desde una perspectiva de co-beneficios, los efectos positivos del desarrollo de la vivienda se reflejan en varios aspectos de otras áreas de desarrollo, por lo que las políticas de vivienda sustentable aportan al cumplimiento de metas relacionadas a desarrollo económico, cuidado ambiental y salud de la </w:t>
      </w:r>
      <w:r w:rsidR="00A3212E">
        <w:t>población.</w:t>
      </w:r>
    </w:p>
    <w:p w:rsidR="007047A4" w:rsidRPr="008B43F6" w:rsidRDefault="007047A4" w:rsidP="00C12621">
      <w:pPr>
        <w:pStyle w:val="Ttulo2"/>
        <w:jc w:val="both"/>
        <w:rPr>
          <w:rFonts w:asciiTheme="minorHAnsi" w:hAnsiTheme="minorHAnsi"/>
        </w:rPr>
      </w:pPr>
      <w:bookmarkStart w:id="21" w:name="_Toc350874959"/>
      <w:bookmarkStart w:id="22" w:name="_Toc351397571"/>
      <w:r w:rsidRPr="008B43F6">
        <w:rPr>
          <w:rFonts w:asciiTheme="minorHAnsi" w:hAnsiTheme="minorHAnsi"/>
        </w:rPr>
        <w:t>2.1 Población y vivienda</w:t>
      </w:r>
      <w:bookmarkEnd w:id="21"/>
      <w:bookmarkEnd w:id="22"/>
    </w:p>
    <w:p w:rsidR="00B558A8" w:rsidRPr="008B43F6" w:rsidRDefault="00B558A8" w:rsidP="00C12621">
      <w:pPr>
        <w:autoSpaceDE w:val="0"/>
        <w:autoSpaceDN w:val="0"/>
        <w:adjustRightInd w:val="0"/>
        <w:spacing w:after="0"/>
        <w:jc w:val="both"/>
        <w:rPr>
          <w:rFonts w:cs="PresidenciaFina"/>
        </w:rPr>
      </w:pPr>
    </w:p>
    <w:p w:rsidR="00233779" w:rsidRPr="008B43F6" w:rsidRDefault="007047A4" w:rsidP="00C12621">
      <w:pPr>
        <w:autoSpaceDE w:val="0"/>
        <w:autoSpaceDN w:val="0"/>
        <w:adjustRightInd w:val="0"/>
        <w:spacing w:after="0"/>
        <w:ind w:left="360"/>
        <w:jc w:val="both"/>
        <w:rPr>
          <w:rFonts w:cs="PresidenciaFina"/>
        </w:rPr>
      </w:pPr>
      <w:r w:rsidRPr="008B43F6">
        <w:rPr>
          <w:rFonts w:cs="PresidenciaFina"/>
        </w:rPr>
        <w:t xml:space="preserve">En 2010, México tenía </w:t>
      </w:r>
      <w:r w:rsidR="000B5303" w:rsidRPr="008B43F6">
        <w:rPr>
          <w:rFonts w:cs="Arial"/>
          <w:sz w:val="21"/>
          <w:szCs w:val="21"/>
          <w:shd w:val="clear" w:color="auto" w:fill="FFFFFF"/>
        </w:rPr>
        <w:t xml:space="preserve">112.4 millones de </w:t>
      </w:r>
      <w:r w:rsidRPr="008B43F6">
        <w:rPr>
          <w:rFonts w:cs="PresidenciaFina"/>
        </w:rPr>
        <w:t xml:space="preserve">habitantes. </w:t>
      </w:r>
      <w:r w:rsidR="000B5303" w:rsidRPr="008B43F6">
        <w:rPr>
          <w:rFonts w:cs="PresidenciaFina"/>
        </w:rPr>
        <w:t xml:space="preserve"> </w:t>
      </w:r>
      <w:r w:rsidRPr="008B43F6">
        <w:rPr>
          <w:rFonts w:cs="PresidenciaFina"/>
        </w:rPr>
        <w:t>La tasa de c</w:t>
      </w:r>
      <w:r w:rsidR="00636F36" w:rsidRPr="008B43F6">
        <w:rPr>
          <w:rFonts w:cs="PresidenciaFina"/>
        </w:rPr>
        <w:t xml:space="preserve">recimiento poblacional anual ha </w:t>
      </w:r>
      <w:r w:rsidRPr="008B43F6">
        <w:rPr>
          <w:rFonts w:cs="PresidenciaFina"/>
        </w:rPr>
        <w:t>segui</w:t>
      </w:r>
      <w:r w:rsidR="009915A5" w:rsidRPr="008B43F6">
        <w:rPr>
          <w:rFonts w:cs="PresidenciaFina"/>
        </w:rPr>
        <w:t xml:space="preserve">do una tendencia </w:t>
      </w:r>
      <w:r w:rsidRPr="008B43F6">
        <w:rPr>
          <w:rFonts w:cs="PresidenciaFina"/>
        </w:rPr>
        <w:t>decrecient</w:t>
      </w:r>
      <w:r w:rsidR="00636F36" w:rsidRPr="008B43F6">
        <w:rPr>
          <w:rFonts w:cs="PresidenciaFina"/>
        </w:rPr>
        <w:t xml:space="preserve">e, </w:t>
      </w:r>
      <w:r w:rsidR="00756D50" w:rsidRPr="008B43F6">
        <w:rPr>
          <w:rFonts w:cs="PresidenciaFina"/>
        </w:rPr>
        <w:t xml:space="preserve">y de </w:t>
      </w:r>
      <w:r w:rsidRPr="008B43F6">
        <w:rPr>
          <w:rFonts w:cs="PresidenciaFina"/>
        </w:rPr>
        <w:t xml:space="preserve"> acuerdo a los últimos</w:t>
      </w:r>
      <w:r w:rsidR="00636F36" w:rsidRPr="008B43F6">
        <w:rPr>
          <w:rFonts w:cs="PresidenciaFina"/>
        </w:rPr>
        <w:t xml:space="preserve"> datos est</w:t>
      </w:r>
      <w:r w:rsidR="000F0683" w:rsidRPr="008B43F6">
        <w:rPr>
          <w:rFonts w:cs="PresidenciaFina"/>
        </w:rPr>
        <w:t>a tasa se ubica</w:t>
      </w:r>
      <w:r w:rsidR="00636F36" w:rsidRPr="008B43F6">
        <w:rPr>
          <w:rFonts w:cs="PresidenciaFina"/>
        </w:rPr>
        <w:t xml:space="preserve"> en 0.77 </w:t>
      </w:r>
      <w:r w:rsidRPr="008B43F6">
        <w:rPr>
          <w:rFonts w:cs="PresidenciaFina"/>
        </w:rPr>
        <w:t>por cada 100 mil habitante</w:t>
      </w:r>
      <w:r w:rsidR="00636F36" w:rsidRPr="008B43F6">
        <w:rPr>
          <w:rFonts w:cs="PresidenciaFina"/>
        </w:rPr>
        <w:t xml:space="preserve">s. </w:t>
      </w:r>
      <w:r w:rsidR="000F0683" w:rsidRPr="008B43F6">
        <w:rPr>
          <w:rFonts w:cs="PresidenciaFina"/>
        </w:rPr>
        <w:t>Igualmente, s</w:t>
      </w:r>
      <w:r w:rsidR="00A96613" w:rsidRPr="008B43F6">
        <w:rPr>
          <w:rFonts w:cs="PresidenciaFina"/>
        </w:rPr>
        <w:t>e observa un tránsito persistente de la población rural hacia  el medio urbano</w:t>
      </w:r>
      <w:r w:rsidR="000F0683" w:rsidRPr="008B43F6">
        <w:rPr>
          <w:rFonts w:cs="PresidenciaFina"/>
        </w:rPr>
        <w:t xml:space="preserve"> que se refleja en el hecho de que en</w:t>
      </w:r>
      <w:r w:rsidR="00233779" w:rsidRPr="008B43F6">
        <w:rPr>
          <w:rFonts w:cs="PresidenciaFina"/>
        </w:rPr>
        <w:t xml:space="preserve"> el per</w:t>
      </w:r>
      <w:r w:rsidR="000F0683" w:rsidRPr="008B43F6">
        <w:rPr>
          <w:rFonts w:cs="PresidenciaFina"/>
        </w:rPr>
        <w:t>í</w:t>
      </w:r>
      <w:r w:rsidR="00233779" w:rsidRPr="008B43F6">
        <w:rPr>
          <w:rFonts w:cs="PresidenciaFina"/>
        </w:rPr>
        <w:t>odo 2000-2010 la población urbana pasó de 68.06 a 80.42 millones de personas (</w:t>
      </w:r>
      <w:r w:rsidR="000F0683" w:rsidRPr="008B43F6">
        <w:rPr>
          <w:rFonts w:cs="PresidenciaFina"/>
        </w:rPr>
        <w:t xml:space="preserve">un crecimiento de </w:t>
      </w:r>
      <w:r w:rsidR="00233779" w:rsidRPr="008B43F6">
        <w:rPr>
          <w:rFonts w:cs="PresidenciaFina"/>
        </w:rPr>
        <w:t>18.2%) y la rural de 29.43 a 31.92 millones de personas (</w:t>
      </w:r>
      <w:r w:rsidR="000F0683" w:rsidRPr="008B43F6">
        <w:rPr>
          <w:rFonts w:cs="PresidenciaFina"/>
        </w:rPr>
        <w:t xml:space="preserve">crecimiento del </w:t>
      </w:r>
      <w:r w:rsidR="00233779" w:rsidRPr="008B43F6">
        <w:rPr>
          <w:rFonts w:cs="PresidenciaFina"/>
        </w:rPr>
        <w:t xml:space="preserve">8.5%) </w:t>
      </w:r>
      <w:r w:rsidR="00233779" w:rsidRPr="008B43F6">
        <w:rPr>
          <w:rFonts w:cs="PresidenciaFina"/>
        </w:rPr>
        <w:fldChar w:fldCharType="begin"/>
      </w:r>
      <w:r w:rsidR="00233779" w:rsidRPr="008B43F6">
        <w:rPr>
          <w:rFonts w:cs="PresidenciaFina"/>
        </w:rPr>
        <w:instrText xml:space="preserve"> ADDIN EN.CITE &lt;EndNote&gt;&lt;Cite&gt;&lt;RecNum&gt;86&lt;/RecNum&gt;&lt;DisplayText&gt;[4]&lt;/DisplayText&gt;&lt;record&gt;&lt;rec-number&gt;86&lt;/rec-number&gt;&lt;foreign-keys&gt;&lt;key app="EN" db-id="w0w9edzzlxxfdgesvf359ft8wzxverspwaav"&gt;86&lt;/key&gt;&lt;/foreign-keys&gt;&lt;ref-type name="Web Page"&gt;12&lt;/ref-type&gt;&lt;contributors&gt;&lt;/contributors&gt;&lt;titles&gt;&lt;title&gt;Consejo Nacional de Población&lt;/title&gt;&lt;/titles&gt;&lt;dates&gt;&lt;/dates&gt;&lt;urls&gt;&lt;related-urls&gt;&lt;url&gt;http://www.conapo.gob.mx/&lt;/url&gt;&lt;/related-urls&gt;&lt;/urls&gt;&lt;/record&gt;&lt;/Cite&gt;&lt;/EndNote&gt;</w:instrText>
      </w:r>
      <w:r w:rsidR="00233779" w:rsidRPr="008B43F6">
        <w:rPr>
          <w:rFonts w:cs="PresidenciaFina"/>
        </w:rPr>
        <w:fldChar w:fldCharType="separate"/>
      </w:r>
      <w:r w:rsidR="00233779" w:rsidRPr="008B43F6">
        <w:rPr>
          <w:rFonts w:cs="PresidenciaFina"/>
          <w:noProof/>
        </w:rPr>
        <w:t>[</w:t>
      </w:r>
      <w:hyperlink w:anchor="_ENREF_4" w:tooltip=",  #86" w:history="1">
        <w:r w:rsidR="00251C87" w:rsidRPr="008B43F6">
          <w:rPr>
            <w:rFonts w:cs="PresidenciaFina"/>
            <w:noProof/>
          </w:rPr>
          <w:t>4</w:t>
        </w:r>
      </w:hyperlink>
      <w:r w:rsidR="00233779" w:rsidRPr="008B43F6">
        <w:rPr>
          <w:rFonts w:cs="PresidenciaFina"/>
          <w:noProof/>
        </w:rPr>
        <w:t>]</w:t>
      </w:r>
      <w:r w:rsidR="00233779" w:rsidRPr="008B43F6">
        <w:rPr>
          <w:rFonts w:cs="PresidenciaFina"/>
        </w:rPr>
        <w:fldChar w:fldCharType="end"/>
      </w:r>
      <w:r w:rsidR="00233779" w:rsidRPr="008B43F6">
        <w:rPr>
          <w:rFonts w:cs="PresidenciaFina"/>
        </w:rPr>
        <w:t xml:space="preserve">. </w:t>
      </w:r>
    </w:p>
    <w:p w:rsidR="00233779" w:rsidRPr="008B43F6" w:rsidRDefault="00233779" w:rsidP="00C12621">
      <w:pPr>
        <w:autoSpaceDE w:val="0"/>
        <w:autoSpaceDN w:val="0"/>
        <w:adjustRightInd w:val="0"/>
        <w:spacing w:after="0"/>
        <w:ind w:left="360"/>
        <w:jc w:val="both"/>
        <w:rPr>
          <w:rFonts w:cs="PresidenciaFina"/>
        </w:rPr>
      </w:pPr>
    </w:p>
    <w:p w:rsidR="00756D50" w:rsidRPr="008B43F6" w:rsidRDefault="00233779" w:rsidP="00C12621">
      <w:pPr>
        <w:autoSpaceDE w:val="0"/>
        <w:autoSpaceDN w:val="0"/>
        <w:adjustRightInd w:val="0"/>
        <w:spacing w:after="0"/>
        <w:ind w:left="360"/>
        <w:jc w:val="both"/>
        <w:rPr>
          <w:rFonts w:cs="PresidenciaFina"/>
        </w:rPr>
      </w:pPr>
      <w:r w:rsidRPr="008B43F6">
        <w:rPr>
          <w:rFonts w:cs="PresidenciaFina"/>
        </w:rPr>
        <w:t xml:space="preserve">Por tamaño de </w:t>
      </w:r>
      <w:r w:rsidR="000F0683" w:rsidRPr="008B43F6">
        <w:rPr>
          <w:rFonts w:cs="PresidenciaFina"/>
        </w:rPr>
        <w:t>las poblaciones</w:t>
      </w:r>
      <w:r w:rsidRPr="008B43F6">
        <w:rPr>
          <w:rFonts w:cs="PresidenciaFina"/>
        </w:rPr>
        <w:t xml:space="preserve">, </w:t>
      </w:r>
      <w:r w:rsidR="000F0683" w:rsidRPr="008B43F6">
        <w:rPr>
          <w:rFonts w:cs="PresidenciaFina"/>
        </w:rPr>
        <w:t>el</w:t>
      </w:r>
      <w:r w:rsidR="002F4E7A" w:rsidRPr="008B43F6">
        <w:rPr>
          <w:rFonts w:cs="PresidenciaFina"/>
        </w:rPr>
        <w:t xml:space="preserve"> </w:t>
      </w:r>
      <w:r w:rsidRPr="008B43F6">
        <w:rPr>
          <w:rFonts w:cs="PresidenciaFina"/>
        </w:rPr>
        <w:t xml:space="preserve">71.6% </w:t>
      </w:r>
      <w:r w:rsidR="000F0683" w:rsidRPr="008B43F6">
        <w:rPr>
          <w:rFonts w:cs="PresidenciaFina"/>
        </w:rPr>
        <w:t>de la población</w:t>
      </w:r>
      <w:r w:rsidR="002F4E7A" w:rsidRPr="008B43F6">
        <w:rPr>
          <w:rFonts w:cs="PresidenciaFina"/>
        </w:rPr>
        <w:t xml:space="preserve"> (80.42 millones de personas)</w:t>
      </w:r>
      <w:r w:rsidR="000F0683" w:rsidRPr="008B43F6">
        <w:rPr>
          <w:rFonts w:cs="PresidenciaFina"/>
        </w:rPr>
        <w:t xml:space="preserve"> se ubica </w:t>
      </w:r>
      <w:r w:rsidRPr="008B43F6">
        <w:rPr>
          <w:rFonts w:cs="PresidenciaFina"/>
        </w:rPr>
        <w:t xml:space="preserve">en zonas metropolitanas, conurbaciones y localidades de más de 15,000 habitantes, </w:t>
      </w:r>
      <w:r w:rsidR="000F0683" w:rsidRPr="008B43F6">
        <w:rPr>
          <w:rFonts w:cs="PresidenciaFina"/>
        </w:rPr>
        <w:t>mientras que el restante</w:t>
      </w:r>
      <w:r w:rsidR="002F4E7A" w:rsidRPr="008B43F6">
        <w:rPr>
          <w:rFonts w:cs="PresidenciaFina"/>
        </w:rPr>
        <w:t xml:space="preserve"> </w:t>
      </w:r>
      <w:r w:rsidRPr="008B43F6">
        <w:rPr>
          <w:rFonts w:cs="PresidenciaFina"/>
        </w:rPr>
        <w:t xml:space="preserve">28.4% (31.91 millones de personas) en </w:t>
      </w:r>
      <w:r w:rsidR="00756D50" w:rsidRPr="008B43F6">
        <w:rPr>
          <w:rFonts w:cs="PresidenciaFina"/>
        </w:rPr>
        <w:t xml:space="preserve">localidades con menos de 15,000 </w:t>
      </w:r>
      <w:r w:rsidR="00756D50" w:rsidRPr="008B43F6">
        <w:rPr>
          <w:rFonts w:cs="PresidenciaFina"/>
        </w:rPr>
        <w:fldChar w:fldCharType="begin"/>
      </w:r>
      <w:r w:rsidR="00756D50" w:rsidRPr="008B43F6">
        <w:rPr>
          <w:rFonts w:cs="PresidenciaFina"/>
        </w:rPr>
        <w:instrText xml:space="preserve"> ADDIN EN.CITE &lt;EndNote&gt;&lt;Cite&gt;&lt;RecNum&gt;86&lt;/RecNum&gt;&lt;DisplayText&gt;[4]&lt;/DisplayText&gt;&lt;record&gt;&lt;rec-number&gt;86&lt;/rec-number&gt;&lt;foreign-keys&gt;&lt;key app="EN" db-id="w0w9edzzlxxfdgesvf359ft8wzxverspwaav"&gt;86&lt;/key&gt;&lt;/foreign-keys&gt;&lt;ref-type name="Web Page"&gt;12&lt;/ref-type&gt;&lt;contributors&gt;&lt;/contributors&gt;&lt;titles&gt;&lt;title&gt;Consejo Nacional de Población&lt;/title&gt;&lt;/titles&gt;&lt;dates&gt;&lt;/dates&gt;&lt;urls&gt;&lt;related-urls&gt;&lt;url&gt;http://www.conapo.gob.mx/&lt;/url&gt;&lt;/related-urls&gt;&lt;/urls&gt;&lt;/record&gt;&lt;/Cite&gt;&lt;/EndNote&gt;</w:instrText>
      </w:r>
      <w:r w:rsidR="00756D50" w:rsidRPr="008B43F6">
        <w:rPr>
          <w:rFonts w:cs="PresidenciaFina"/>
        </w:rPr>
        <w:fldChar w:fldCharType="separate"/>
      </w:r>
      <w:r w:rsidR="00756D50" w:rsidRPr="008B43F6">
        <w:rPr>
          <w:rFonts w:cs="PresidenciaFina"/>
          <w:noProof/>
        </w:rPr>
        <w:t>[</w:t>
      </w:r>
      <w:hyperlink w:anchor="_ENREF_4" w:tooltip=",  #86" w:history="1">
        <w:r w:rsidR="00251C87" w:rsidRPr="008B43F6">
          <w:rPr>
            <w:rFonts w:cs="PresidenciaFina"/>
            <w:noProof/>
          </w:rPr>
          <w:t>4</w:t>
        </w:r>
      </w:hyperlink>
      <w:r w:rsidR="00756D50" w:rsidRPr="008B43F6">
        <w:rPr>
          <w:rFonts w:cs="PresidenciaFina"/>
          <w:noProof/>
        </w:rPr>
        <w:t>]</w:t>
      </w:r>
      <w:r w:rsidR="00756D50" w:rsidRPr="008B43F6">
        <w:rPr>
          <w:rFonts w:cs="PresidenciaFina"/>
        </w:rPr>
        <w:fldChar w:fldCharType="end"/>
      </w:r>
      <w:r w:rsidR="00756D50" w:rsidRPr="008B43F6">
        <w:rPr>
          <w:rFonts w:cs="PresidenciaFina"/>
        </w:rPr>
        <w:t>.</w:t>
      </w:r>
    </w:p>
    <w:p w:rsidR="00756D50" w:rsidRPr="008B43F6" w:rsidRDefault="00756D50" w:rsidP="00C12621">
      <w:pPr>
        <w:autoSpaceDE w:val="0"/>
        <w:autoSpaceDN w:val="0"/>
        <w:adjustRightInd w:val="0"/>
        <w:spacing w:after="0"/>
        <w:ind w:left="360"/>
        <w:jc w:val="both"/>
        <w:rPr>
          <w:rFonts w:cs="PresidenciaFina"/>
        </w:rPr>
      </w:pPr>
    </w:p>
    <w:p w:rsidR="00756D50" w:rsidRPr="008B43F6" w:rsidRDefault="00756D50" w:rsidP="00C12621">
      <w:pPr>
        <w:autoSpaceDE w:val="0"/>
        <w:autoSpaceDN w:val="0"/>
        <w:adjustRightInd w:val="0"/>
        <w:spacing w:after="0"/>
        <w:ind w:left="360"/>
        <w:jc w:val="both"/>
        <w:rPr>
          <w:rFonts w:cs="PresidenciaFina"/>
        </w:rPr>
      </w:pPr>
      <w:r w:rsidRPr="008B43F6">
        <w:rPr>
          <w:rFonts w:cs="PresidenciaFina"/>
        </w:rPr>
        <w:t>En cuanto a la edad de la población,</w:t>
      </w:r>
      <w:r w:rsidR="007047A4" w:rsidRPr="008B43F6">
        <w:rPr>
          <w:rFonts w:cs="PresidenciaFina"/>
        </w:rPr>
        <w:t xml:space="preserve">  </w:t>
      </w:r>
      <w:r w:rsidR="000F0683" w:rsidRPr="008B43F6">
        <w:rPr>
          <w:rFonts w:cs="PresidenciaFina"/>
        </w:rPr>
        <w:t xml:space="preserve">el </w:t>
      </w:r>
      <w:r w:rsidR="00636F36" w:rsidRPr="008B43F6">
        <w:rPr>
          <w:rFonts w:cs="PresidenciaFina"/>
        </w:rPr>
        <w:t xml:space="preserve">promedio nacional es de </w:t>
      </w:r>
      <w:r w:rsidR="007047A4" w:rsidRPr="008B43F6">
        <w:rPr>
          <w:rFonts w:cs="PresidenciaFina"/>
        </w:rPr>
        <w:t xml:space="preserve">26 </w:t>
      </w:r>
      <w:r w:rsidR="000F0683" w:rsidRPr="008B43F6">
        <w:rPr>
          <w:rFonts w:cs="PresidenciaFina"/>
        </w:rPr>
        <w:t>y el grupo con mayor cantidad de personas se ubica en el conjunto de las que están entre los 15 a 19 años</w:t>
      </w:r>
      <w:r w:rsidR="007047A4" w:rsidRPr="008B43F6">
        <w:rPr>
          <w:rFonts w:cs="PresidenciaFina"/>
        </w:rPr>
        <w:t xml:space="preserve">. </w:t>
      </w:r>
      <w:r w:rsidR="000F0683" w:rsidRPr="008B43F6">
        <w:rPr>
          <w:rFonts w:cs="PresidenciaFina"/>
        </w:rPr>
        <w:t>Sin embargo, l</w:t>
      </w:r>
      <w:r w:rsidR="00D2311B" w:rsidRPr="008B43F6">
        <w:rPr>
          <w:rFonts w:cs="PresidenciaFina"/>
        </w:rPr>
        <w:t>a estructura por edad muestra una població</w:t>
      </w:r>
      <w:r w:rsidR="00A96613" w:rsidRPr="008B43F6">
        <w:rPr>
          <w:rFonts w:cs="PresidenciaFina"/>
        </w:rPr>
        <w:t>n que</w:t>
      </w:r>
      <w:r w:rsidR="000F0683" w:rsidRPr="008B43F6">
        <w:rPr>
          <w:rFonts w:cs="PresidenciaFina"/>
        </w:rPr>
        <w:t xml:space="preserve">, en promedio, </w:t>
      </w:r>
      <w:r w:rsidR="00A96613" w:rsidRPr="008B43F6">
        <w:rPr>
          <w:rFonts w:cs="PresidenciaFina"/>
        </w:rPr>
        <w:t xml:space="preserve"> envejece paulatinamente, </w:t>
      </w:r>
      <w:r w:rsidR="00D2311B" w:rsidRPr="008B43F6">
        <w:rPr>
          <w:rFonts w:cs="PresidenciaFina"/>
        </w:rPr>
        <w:t>con el desplazamiento ascendente de la edad me</w:t>
      </w:r>
      <w:r w:rsidR="00A96613" w:rsidRPr="008B43F6">
        <w:rPr>
          <w:rFonts w:cs="PresidenciaFina"/>
        </w:rPr>
        <w:t xml:space="preserve">diana, una menor participación  </w:t>
      </w:r>
      <w:r w:rsidR="00D2311B" w:rsidRPr="008B43F6">
        <w:rPr>
          <w:rFonts w:cs="PresidenciaFina"/>
        </w:rPr>
        <w:t xml:space="preserve">de la población infantil y un crecimiento de los </w:t>
      </w:r>
      <w:r w:rsidR="00A96613" w:rsidRPr="008B43F6">
        <w:rPr>
          <w:rFonts w:cs="PresidenciaFina"/>
        </w:rPr>
        <w:t xml:space="preserve">grupos de edad medios en edad </w:t>
      </w:r>
      <w:r w:rsidR="00D2311B" w:rsidRPr="008B43F6">
        <w:rPr>
          <w:rFonts w:cs="PresidenciaFina"/>
        </w:rPr>
        <w:t>productiva, así como el incremento acelerado d</w:t>
      </w:r>
      <w:r w:rsidR="00A96613" w:rsidRPr="008B43F6">
        <w:rPr>
          <w:rFonts w:cs="PresidenciaFina"/>
        </w:rPr>
        <w:t xml:space="preserve">e la población mayor de 65 años </w:t>
      </w:r>
      <w:r w:rsidR="00144311" w:rsidRPr="008B43F6">
        <w:rPr>
          <w:rFonts w:cs="PresidenciaFina"/>
        </w:rPr>
        <w:fldChar w:fldCharType="begin"/>
      </w:r>
      <w:r w:rsidR="00144311" w:rsidRPr="008B43F6">
        <w:rPr>
          <w:rFonts w:cs="PresidenciaFina"/>
        </w:rPr>
        <w:instrText xml:space="preserve"> ADDIN EN.CITE &lt;EndNote&gt;&lt;Cite&gt;&lt;Year&gt;2012&lt;/Year&gt;&lt;RecNum&gt;90&lt;/RecNum&gt;&lt;DisplayText&gt;[5]&lt;/DisplayText&gt;&lt;record&gt;&lt;rec-number&gt;90&lt;/rec-number&gt;&lt;foreign-keys&gt;&lt;key app="EN" db-id="w0w9edzzlxxfdgesvf359ft8wzxverspwaav"&gt;90&lt;/key&gt;&lt;/foreign-keys&gt;&lt;ref-type name="Report"&gt;27&lt;/ref-type&gt;&lt;contributors&gt;&lt;/contributors&gt;&lt;titles&gt;&lt;title&gt;La Salud en México: 2206/2012&lt;/title&gt;&lt;/titles&gt;&lt;dates&gt;&lt;year&gt;2012&lt;/year&gt;&lt;/dates&gt;&lt;publisher&gt;Fundación Mexicana para la Salud &lt;/publisher&gt;&lt;urls&gt;&lt;/urls&gt;&lt;/record&gt;&lt;/Cite&gt;&lt;/EndNote&gt;</w:instrText>
      </w:r>
      <w:r w:rsidR="00144311" w:rsidRPr="008B43F6">
        <w:rPr>
          <w:rFonts w:cs="PresidenciaFina"/>
        </w:rPr>
        <w:fldChar w:fldCharType="separate"/>
      </w:r>
      <w:r w:rsidR="00144311" w:rsidRPr="008B43F6">
        <w:rPr>
          <w:rFonts w:cs="PresidenciaFina"/>
          <w:noProof/>
        </w:rPr>
        <w:t>[</w:t>
      </w:r>
      <w:hyperlink w:anchor="_ENREF_5" w:tooltip=", 2012 #90" w:history="1">
        <w:r w:rsidR="00251C87" w:rsidRPr="008B43F6">
          <w:rPr>
            <w:rFonts w:cs="PresidenciaFina"/>
            <w:noProof/>
          </w:rPr>
          <w:t>5</w:t>
        </w:r>
      </w:hyperlink>
      <w:r w:rsidR="00144311" w:rsidRPr="008B43F6">
        <w:rPr>
          <w:rFonts w:cs="PresidenciaFina"/>
          <w:noProof/>
        </w:rPr>
        <w:t>]</w:t>
      </w:r>
      <w:r w:rsidR="00144311" w:rsidRPr="008B43F6">
        <w:rPr>
          <w:rFonts w:cs="PresidenciaFina"/>
        </w:rPr>
        <w:fldChar w:fldCharType="end"/>
      </w:r>
      <w:r w:rsidR="00144311" w:rsidRPr="008B43F6">
        <w:rPr>
          <w:rFonts w:cs="PresidenciaFina"/>
        </w:rPr>
        <w:t>.</w:t>
      </w:r>
    </w:p>
    <w:p w:rsidR="00756D50" w:rsidRPr="008B43F6" w:rsidRDefault="00756D50" w:rsidP="00C12621">
      <w:pPr>
        <w:autoSpaceDE w:val="0"/>
        <w:autoSpaceDN w:val="0"/>
        <w:adjustRightInd w:val="0"/>
        <w:spacing w:after="0"/>
        <w:ind w:left="360"/>
        <w:jc w:val="both"/>
        <w:rPr>
          <w:rFonts w:cs="PresidenciaFina"/>
        </w:rPr>
      </w:pPr>
    </w:p>
    <w:p w:rsidR="000B5303" w:rsidRPr="008B43F6" w:rsidRDefault="000B5303" w:rsidP="00C12621">
      <w:pPr>
        <w:autoSpaceDE w:val="0"/>
        <w:autoSpaceDN w:val="0"/>
        <w:adjustRightInd w:val="0"/>
        <w:spacing w:after="0"/>
        <w:ind w:left="360"/>
        <w:jc w:val="both"/>
        <w:rPr>
          <w:rFonts w:cs="PresidenciaFina"/>
        </w:rPr>
      </w:pPr>
      <w:r w:rsidRPr="008B43F6">
        <w:rPr>
          <w:rFonts w:cs="PresidenciaFina"/>
        </w:rPr>
        <w:t>E</w:t>
      </w:r>
      <w:r w:rsidR="000F0683" w:rsidRPr="008B43F6">
        <w:rPr>
          <w:rFonts w:cs="PresidenciaFina"/>
        </w:rPr>
        <w:t>n cuanto a vivienda, e</w:t>
      </w:r>
      <w:r w:rsidRPr="008B43F6">
        <w:rPr>
          <w:rFonts w:cs="PresidenciaFina"/>
        </w:rPr>
        <w:t>l censo del INEGI de 2010 indica que en México existen 28.6 millones de viviendas cuyo promedio de ocupación es 3.9 habitantes por vivienda.</w:t>
      </w:r>
      <w:r w:rsidR="00135E94" w:rsidRPr="008B43F6">
        <w:rPr>
          <w:rFonts w:cs="PresidenciaFina"/>
        </w:rPr>
        <w:t xml:space="preserve"> </w:t>
      </w:r>
      <w:r w:rsidR="00756D50" w:rsidRPr="008B43F6">
        <w:rPr>
          <w:rFonts w:cs="PresidenciaFina"/>
        </w:rPr>
        <w:t xml:space="preserve">Asimismo, </w:t>
      </w:r>
      <w:r w:rsidR="00135E94" w:rsidRPr="008B43F6">
        <w:rPr>
          <w:rFonts w:cs="PresidenciaFina"/>
        </w:rPr>
        <w:t xml:space="preserve">México tiene un rezago </w:t>
      </w:r>
      <w:r w:rsidR="00756D50" w:rsidRPr="008B43F6">
        <w:rPr>
          <w:rFonts w:cs="PresidenciaFina"/>
        </w:rPr>
        <w:t>de</w:t>
      </w:r>
      <w:r w:rsidR="00135E94" w:rsidRPr="008B43F6">
        <w:rPr>
          <w:rFonts w:cs="PresidenciaFina"/>
        </w:rPr>
        <w:t xml:space="preserve"> vivienda estimado en nueve millones de  viviendas. </w:t>
      </w:r>
      <w:r w:rsidR="00756D50" w:rsidRPr="008B43F6">
        <w:rPr>
          <w:rFonts w:cs="PresidenciaFina"/>
        </w:rPr>
        <w:t>Esto podría agravarse pues e</w:t>
      </w:r>
      <w:r w:rsidRPr="008B43F6">
        <w:rPr>
          <w:rFonts w:cs="PresidenciaFina"/>
        </w:rPr>
        <w:t>n el 2010 27.2 millones de personas</w:t>
      </w:r>
      <w:r w:rsidR="00756D50" w:rsidRPr="008B43F6">
        <w:rPr>
          <w:rFonts w:cs="PresidenciaFina"/>
        </w:rPr>
        <w:t xml:space="preserve"> tenían  entre 20 y 34 años</w:t>
      </w:r>
      <w:r w:rsidR="000F0683" w:rsidRPr="008B43F6">
        <w:rPr>
          <w:rFonts w:cs="PresidenciaFina"/>
        </w:rPr>
        <w:t xml:space="preserve"> y</w:t>
      </w:r>
      <w:r w:rsidRPr="008B43F6">
        <w:rPr>
          <w:rFonts w:cs="PresidenciaFina"/>
        </w:rPr>
        <w:t xml:space="preserve"> en los próximos </w:t>
      </w:r>
      <w:r w:rsidR="000F0683" w:rsidRPr="008B43F6">
        <w:rPr>
          <w:rFonts w:cs="PresidenciaFina"/>
        </w:rPr>
        <w:t xml:space="preserve">ocho </w:t>
      </w:r>
      <w:r w:rsidRPr="008B43F6">
        <w:rPr>
          <w:rFonts w:cs="PresidenciaFina"/>
        </w:rPr>
        <w:t>años este sector podría demandar alrededor de 6 millones de viviendas.</w:t>
      </w:r>
      <w:r w:rsidR="00135E94" w:rsidRPr="008B43F6">
        <w:rPr>
          <w:rFonts w:cs="PresidenciaFina"/>
        </w:rPr>
        <w:t xml:space="preserve"> Asimismo, e</w:t>
      </w:r>
      <w:r w:rsidRPr="008B43F6">
        <w:rPr>
          <w:rFonts w:cs="PresidenciaFina"/>
        </w:rPr>
        <w:t xml:space="preserve">l 23 % de la población nacional </w:t>
      </w:r>
      <w:r w:rsidR="000F0683" w:rsidRPr="008B43F6">
        <w:rPr>
          <w:rFonts w:cs="PresidenciaFina"/>
        </w:rPr>
        <w:t>(</w:t>
      </w:r>
      <w:r w:rsidRPr="008B43F6">
        <w:rPr>
          <w:rFonts w:cs="PresidenciaFina"/>
        </w:rPr>
        <w:t xml:space="preserve"> 25.8 millones de personas</w:t>
      </w:r>
      <w:r w:rsidR="000F0683" w:rsidRPr="008B43F6">
        <w:rPr>
          <w:rFonts w:cs="PresidenciaFina"/>
        </w:rPr>
        <w:t>)</w:t>
      </w:r>
      <w:r w:rsidRPr="008B43F6">
        <w:rPr>
          <w:rFonts w:cs="PresidenciaFina"/>
        </w:rPr>
        <w:t xml:space="preserve"> no tiene casa propia, </w:t>
      </w:r>
      <w:r w:rsidR="000F0683" w:rsidRPr="008B43F6">
        <w:rPr>
          <w:rFonts w:cs="PresidenciaFina"/>
        </w:rPr>
        <w:t>lo que representa una demanda adicional de</w:t>
      </w:r>
      <w:r w:rsidRPr="008B43F6">
        <w:rPr>
          <w:rFonts w:cs="PresidenciaFina"/>
        </w:rPr>
        <w:t xml:space="preserve"> 6.6 millones de hogares</w:t>
      </w:r>
      <w:r w:rsidR="00756D50" w:rsidRPr="008B43F6">
        <w:rPr>
          <w:rFonts w:cs="PresidenciaFina"/>
        </w:rPr>
        <w:t xml:space="preserve"> </w:t>
      </w:r>
      <w:r w:rsidR="00756D50" w:rsidRPr="008B43F6">
        <w:rPr>
          <w:rFonts w:cs="PresidenciaFina"/>
        </w:rPr>
        <w:fldChar w:fldCharType="begin"/>
      </w:r>
      <w:r w:rsidR="00874C62" w:rsidRPr="008B43F6">
        <w:rPr>
          <w:rFonts w:cs="PresidenciaFina"/>
        </w:rPr>
        <w:instrText xml:space="preserve"> ADDIN EN.CITE &lt;EndNote&gt;&lt;Cite&gt;&lt;Year&gt;2012&amp;#xD;&lt;/Year&gt;&lt;RecNum&gt;99&lt;/RecNum&gt;&lt;DisplayText&gt;[6]&lt;/DisplayText&gt;&lt;record&gt;&lt;rec-number&gt;99&lt;/rec-number&gt;&lt;foreign-keys&gt;&lt;key app="EN" db-id="w0w9edzzlxxfdgesvf359ft8wzxverspwaav"&gt;99&lt;/key&gt;&lt;/foreign-keys&gt;&lt;ref-type name="Newspaper Article"&gt;23&lt;/ref-type&gt;&lt;contributors&gt;&lt;/contributors&gt;&lt;titles&gt;&lt;title&gt;Los retos de vivienda en México&lt;/title&gt;&lt;secondary-title&gt;El Universal&lt;/secondary-title&gt;&lt;/titles&gt;&lt;dates&gt;&lt;year&gt;2012&lt;/year&gt;&lt;pub-dates&gt;&lt;date&gt;14/05/2012&lt;/date&gt;&lt;/pub-dates&gt;&lt;/dates&gt;&lt;urls&gt;&lt;related-urls&gt;&lt;url&gt;http://blogs.eluniversal.com.mx/weblogs_detalle16309.html&lt;/url&gt;&lt;/related-urls&gt;&lt;/urls&gt;&lt;/record&gt;&lt;/Cite&gt;&lt;/EndNote&gt;</w:instrText>
      </w:r>
      <w:r w:rsidR="00756D50" w:rsidRPr="008B43F6">
        <w:rPr>
          <w:rFonts w:cs="PresidenciaFina"/>
        </w:rPr>
        <w:fldChar w:fldCharType="separate"/>
      </w:r>
      <w:r w:rsidR="00756D50" w:rsidRPr="008B43F6">
        <w:rPr>
          <w:rFonts w:cs="PresidenciaFina"/>
        </w:rPr>
        <w:t>[</w:t>
      </w:r>
      <w:hyperlink w:anchor="_ENREF_6" w:tooltip=", 2012 #99" w:history="1">
        <w:r w:rsidR="00251C87" w:rsidRPr="008B43F6">
          <w:rPr>
            <w:rFonts w:cs="PresidenciaFina"/>
          </w:rPr>
          <w:t>6</w:t>
        </w:r>
      </w:hyperlink>
      <w:r w:rsidR="00756D50" w:rsidRPr="008B43F6">
        <w:rPr>
          <w:rFonts w:cs="PresidenciaFina"/>
        </w:rPr>
        <w:t>]</w:t>
      </w:r>
      <w:r w:rsidR="00756D50" w:rsidRPr="008B43F6">
        <w:rPr>
          <w:rFonts w:cs="PresidenciaFina"/>
        </w:rPr>
        <w:fldChar w:fldCharType="end"/>
      </w:r>
      <w:r w:rsidRPr="008B43F6">
        <w:rPr>
          <w:rFonts w:cs="PresidenciaFina"/>
        </w:rPr>
        <w:t>.</w:t>
      </w:r>
    </w:p>
    <w:p w:rsidR="005F69F0" w:rsidRPr="008B43F6" w:rsidRDefault="005F69F0" w:rsidP="00C12621">
      <w:pPr>
        <w:jc w:val="both"/>
      </w:pPr>
      <w:r w:rsidRPr="008B43F6">
        <w:tab/>
      </w:r>
    </w:p>
    <w:p w:rsidR="007047A4" w:rsidRPr="008B43F6" w:rsidRDefault="007047A4" w:rsidP="00C12621">
      <w:pPr>
        <w:pStyle w:val="Ttulo2"/>
        <w:jc w:val="both"/>
        <w:rPr>
          <w:rFonts w:asciiTheme="minorHAnsi" w:hAnsiTheme="minorHAnsi"/>
        </w:rPr>
      </w:pPr>
      <w:bookmarkStart w:id="23" w:name="_Toc350874960"/>
      <w:bookmarkStart w:id="24" w:name="_Toc351397572"/>
      <w:r w:rsidRPr="008B43F6">
        <w:rPr>
          <w:rFonts w:asciiTheme="minorHAnsi" w:hAnsiTheme="minorHAnsi"/>
        </w:rPr>
        <w:t>2.2 Energía</w:t>
      </w:r>
      <w:bookmarkEnd w:id="23"/>
      <w:bookmarkEnd w:id="24"/>
    </w:p>
    <w:p w:rsidR="00E7203F" w:rsidRPr="008B43F6" w:rsidRDefault="007047A4" w:rsidP="00C12621">
      <w:pPr>
        <w:autoSpaceDE w:val="0"/>
        <w:autoSpaceDN w:val="0"/>
        <w:adjustRightInd w:val="0"/>
        <w:spacing w:after="0"/>
        <w:ind w:left="360"/>
        <w:jc w:val="both"/>
        <w:rPr>
          <w:rFonts w:cs="PresidenciaFina"/>
        </w:rPr>
      </w:pPr>
      <w:r w:rsidRPr="008B43F6">
        <w:rPr>
          <w:rFonts w:cs="PresidenciaFina"/>
        </w:rPr>
        <w:t>En 2009 México se situó en el décimo lugar entre los países con mayor producción de energía primaria</w:t>
      </w:r>
      <w:r w:rsidR="000F0683" w:rsidRPr="008B43F6">
        <w:rPr>
          <w:rFonts w:cs="PresidenciaFina"/>
        </w:rPr>
        <w:t xml:space="preserve"> con el</w:t>
      </w:r>
      <w:r w:rsidR="002F4E7A" w:rsidRPr="008B43F6">
        <w:rPr>
          <w:rFonts w:cs="PresidenciaFina"/>
        </w:rPr>
        <w:t xml:space="preserve"> </w:t>
      </w:r>
      <w:r w:rsidRPr="008B43F6">
        <w:rPr>
          <w:rFonts w:cs="PresidenciaFina"/>
        </w:rPr>
        <w:t xml:space="preserve">1.8% de la energía total producida en el mundo. </w:t>
      </w:r>
      <w:r w:rsidR="000F0683" w:rsidRPr="008B43F6">
        <w:rPr>
          <w:rFonts w:cs="PresidenciaFina"/>
        </w:rPr>
        <w:t>A su vez, e</w:t>
      </w:r>
      <w:r w:rsidRPr="008B43F6">
        <w:rPr>
          <w:rFonts w:cs="PresidenciaFina"/>
        </w:rPr>
        <w:t xml:space="preserve">l consumo de energía </w:t>
      </w:r>
      <w:r w:rsidRPr="008B43F6">
        <w:rPr>
          <w:rFonts w:cs="PresidenciaFina-Italic"/>
          <w:i/>
          <w:iCs/>
        </w:rPr>
        <w:t xml:space="preserve">per cápita </w:t>
      </w:r>
      <w:r w:rsidRPr="008B43F6">
        <w:rPr>
          <w:rFonts w:cs="PresidenciaFina"/>
        </w:rPr>
        <w:t>en 2010 fue de 75.2 GJ, lo que es equivalente a 9.86 barriles de petróleo por habitante</w:t>
      </w:r>
      <w:r w:rsidR="000F0683" w:rsidRPr="008B43F6">
        <w:rPr>
          <w:rFonts w:cs="PresidenciaFina"/>
        </w:rPr>
        <w:t xml:space="preserve"> por año</w:t>
      </w:r>
      <w:r w:rsidRPr="008B43F6">
        <w:rPr>
          <w:rFonts w:cs="PresidenciaFina"/>
        </w:rPr>
        <w:t xml:space="preserve"> </w:t>
      </w:r>
      <w:r w:rsidR="00756D50" w:rsidRPr="008B43F6">
        <w:rPr>
          <w:rFonts w:cs="PresidenciaFina"/>
        </w:rPr>
        <w:fldChar w:fldCharType="begin"/>
      </w:r>
      <w:r w:rsidR="005F764E" w:rsidRPr="008B43F6">
        <w:rPr>
          <w:rFonts w:cs="PresidenciaFina"/>
        </w:rPr>
        <w:instrText xml:space="preserve"> ADDIN EN.CITE &lt;EndNote&gt;&lt;Cite&gt;&lt;Author&gt;SENER&lt;/Author&gt;&lt;Year&gt;2010&lt;/Year&gt;&lt;RecNum&gt;100&lt;/RecNum&gt;&lt;DisplayText&gt;[7]&lt;/DisplayText&gt;&lt;record&gt;&lt;rec-number&gt;100&lt;/rec-number&gt;&lt;foreign-keys&gt;&lt;key app="EN" db-id="w0w9edzzlxxfdgesvf359ft8wzxverspwaav"&gt;100&lt;/key&gt;&lt;/foreign-keys&gt;&lt;ref-type name="Government Document"&gt;46&lt;/ref-type&gt;&lt;contributors&gt;&lt;authors&gt;&lt;author&gt;SENER&lt;/author&gt;&lt;/authors&gt;&lt;/contributors&gt;&lt;titles&gt;&lt;title&gt;México y el Banco Interamericano de Desarrollo apoyarán ideas qu impulsen la innovación en tecnologías energéticas sustentables.&lt;/title&gt;&lt;/titles&gt;&lt;dates&gt;&lt;year&gt;2010&lt;/year&gt;&lt;/dates&gt;&lt;urls&gt;&lt;related-urls&gt;&lt;url&gt;http://www.sener.gob.mx/webSener/portal/Default.aspx?id=2017.&lt;/url&gt;&lt;/related-urls&gt;&lt;/urls&gt;&lt;/record&gt;&lt;/Cite&gt;&lt;/EndNote&gt;</w:instrText>
      </w:r>
      <w:r w:rsidR="00756D50" w:rsidRPr="008B43F6">
        <w:rPr>
          <w:rFonts w:cs="PresidenciaFina"/>
        </w:rPr>
        <w:fldChar w:fldCharType="separate"/>
      </w:r>
      <w:r w:rsidR="00756D50" w:rsidRPr="008B43F6">
        <w:rPr>
          <w:rFonts w:cs="PresidenciaFina"/>
          <w:noProof/>
        </w:rPr>
        <w:t>[</w:t>
      </w:r>
      <w:hyperlink w:anchor="_ENREF_7" w:tooltip="SENER, 2010 #100" w:history="1">
        <w:r w:rsidR="00251C87" w:rsidRPr="008B43F6">
          <w:rPr>
            <w:rFonts w:cs="PresidenciaFina"/>
            <w:noProof/>
          </w:rPr>
          <w:t>7</w:t>
        </w:r>
      </w:hyperlink>
      <w:r w:rsidR="00756D50" w:rsidRPr="008B43F6">
        <w:rPr>
          <w:rFonts w:cs="PresidenciaFina"/>
          <w:noProof/>
        </w:rPr>
        <w:t>]</w:t>
      </w:r>
      <w:r w:rsidR="00756D50" w:rsidRPr="008B43F6">
        <w:rPr>
          <w:rFonts w:cs="PresidenciaFina"/>
        </w:rPr>
        <w:fldChar w:fldCharType="end"/>
      </w:r>
      <w:r w:rsidR="00756D50" w:rsidRPr="008B43F6">
        <w:rPr>
          <w:rFonts w:cs="PresidenciaFina"/>
        </w:rPr>
        <w:t>.</w:t>
      </w:r>
    </w:p>
    <w:p w:rsidR="00E7203F" w:rsidRPr="008B43F6" w:rsidRDefault="00E7203F" w:rsidP="00C12621">
      <w:pPr>
        <w:autoSpaceDE w:val="0"/>
        <w:autoSpaceDN w:val="0"/>
        <w:adjustRightInd w:val="0"/>
        <w:spacing w:after="0"/>
        <w:jc w:val="both"/>
        <w:rPr>
          <w:rFonts w:cs="PresidenciaFina"/>
        </w:rPr>
      </w:pPr>
    </w:p>
    <w:p w:rsidR="00145324" w:rsidRPr="008B43F6" w:rsidRDefault="00F251D2" w:rsidP="00C12621">
      <w:pPr>
        <w:autoSpaceDE w:val="0"/>
        <w:autoSpaceDN w:val="0"/>
        <w:adjustRightInd w:val="0"/>
        <w:spacing w:after="0"/>
        <w:ind w:left="360"/>
        <w:jc w:val="both"/>
        <w:rPr>
          <w:rFonts w:cs="PresidenciaFina"/>
        </w:rPr>
      </w:pPr>
      <w:r w:rsidRPr="008B43F6">
        <w:rPr>
          <w:rFonts w:cs="PresidenciaFina"/>
        </w:rPr>
        <w:t>En</w:t>
      </w:r>
      <w:r w:rsidR="00BC1E96" w:rsidRPr="008B43F6">
        <w:rPr>
          <w:rFonts w:cs="PresidenciaFina"/>
        </w:rPr>
        <w:t xml:space="preserve"> lo que corresponde a la demanda final de energía, en </w:t>
      </w:r>
      <w:r w:rsidRPr="008B43F6">
        <w:rPr>
          <w:rFonts w:cs="PresidenciaFina"/>
        </w:rPr>
        <w:t xml:space="preserve"> el 2010 </w:t>
      </w:r>
      <w:r w:rsidR="00FD3308" w:rsidRPr="008B43F6">
        <w:rPr>
          <w:rFonts w:cs="PresidenciaFina"/>
        </w:rPr>
        <w:t>el t</w:t>
      </w:r>
      <w:r w:rsidRPr="008B43F6">
        <w:rPr>
          <w:rFonts w:cs="PresidenciaFina"/>
        </w:rPr>
        <w:t xml:space="preserve">ransporte </w:t>
      </w:r>
      <w:r w:rsidR="00FD3308" w:rsidRPr="008B43F6">
        <w:rPr>
          <w:rFonts w:cs="PresidenciaFina"/>
        </w:rPr>
        <w:t xml:space="preserve">representó el </w:t>
      </w:r>
      <w:r w:rsidRPr="008B43F6">
        <w:rPr>
          <w:rFonts w:cs="PresidenciaFina"/>
        </w:rPr>
        <w:t>48.1 %</w:t>
      </w:r>
      <w:r w:rsidR="00FD3308" w:rsidRPr="008B43F6">
        <w:rPr>
          <w:rFonts w:cs="PresidenciaFina"/>
        </w:rPr>
        <w:t xml:space="preserve"> del total </w:t>
      </w:r>
      <w:r w:rsidRPr="008B43F6">
        <w:rPr>
          <w:rFonts w:cs="PresidenciaFina"/>
        </w:rPr>
        <w:t>,</w:t>
      </w:r>
      <w:r w:rsidR="00FD3308" w:rsidRPr="008B43F6">
        <w:rPr>
          <w:rFonts w:cs="PresidenciaFina"/>
        </w:rPr>
        <w:t xml:space="preserve"> el</w:t>
      </w:r>
      <w:r w:rsidR="002F4E7A" w:rsidRPr="008B43F6">
        <w:rPr>
          <w:rFonts w:cs="PresidenciaFina"/>
        </w:rPr>
        <w:t xml:space="preserve"> sector </w:t>
      </w:r>
      <w:r w:rsidRPr="008B43F6">
        <w:rPr>
          <w:rFonts w:cs="PresidenciaFina"/>
        </w:rPr>
        <w:t xml:space="preserve"> industrial 29.3%, </w:t>
      </w:r>
      <w:r w:rsidR="00FD3308" w:rsidRPr="008B43F6">
        <w:rPr>
          <w:rFonts w:cs="PresidenciaFina"/>
        </w:rPr>
        <w:t>el r</w:t>
      </w:r>
      <w:r w:rsidR="00145324" w:rsidRPr="008B43F6">
        <w:rPr>
          <w:rFonts w:cs="PresidenciaFina"/>
        </w:rPr>
        <w:t xml:space="preserve">esidencial 19.6% y </w:t>
      </w:r>
      <w:r w:rsidR="00FD3308" w:rsidRPr="008B43F6">
        <w:rPr>
          <w:rFonts w:cs="PresidenciaFina"/>
        </w:rPr>
        <w:t xml:space="preserve">el </w:t>
      </w:r>
      <w:r w:rsidR="00145324" w:rsidRPr="008B43F6">
        <w:rPr>
          <w:rFonts w:cs="PresidenciaFina"/>
        </w:rPr>
        <w:t xml:space="preserve">agropecuario 3.1%. </w:t>
      </w:r>
      <w:r w:rsidR="00BC1E96" w:rsidRPr="008B43F6">
        <w:rPr>
          <w:rFonts w:cs="PresidenciaFina"/>
        </w:rPr>
        <w:t xml:space="preserve"> </w:t>
      </w:r>
      <w:r w:rsidR="00FD3308" w:rsidRPr="008B43F6">
        <w:rPr>
          <w:rFonts w:cs="PresidenciaFina"/>
        </w:rPr>
        <w:t>A su vez</w:t>
      </w:r>
      <w:r w:rsidR="00BC1E96" w:rsidRPr="008B43F6">
        <w:rPr>
          <w:rFonts w:cs="PresidenciaFina"/>
        </w:rPr>
        <w:t xml:space="preserve">, de 1990 a 2010 el sector transporte ha mostrado un incremento continuo en su participación relativa en el uso de energía, al igual que el sector agropecuario, mientras que los sectores industrial, residencial, comercial y público han tenido una tendencia a la baja </w:t>
      </w:r>
      <w:r w:rsidR="00BC1E96" w:rsidRPr="008B43F6">
        <w:rPr>
          <w:rFonts w:cs="PresidenciaFina"/>
        </w:rPr>
        <w:fldChar w:fldCharType="begin"/>
      </w:r>
      <w:r w:rsidR="00BC1E96" w:rsidRPr="008B43F6">
        <w:rPr>
          <w:rFonts w:cs="PresidenciaFina"/>
        </w:rPr>
        <w:instrText xml:space="preserve"> ADDIN EN.CITE &lt;EndNote&gt;&lt;Cite&gt;&lt;Author&gt;SENER&lt;/Author&gt;&lt;RecNum&gt;61&lt;/RecNum&gt;&lt;DisplayText&gt;[8]&lt;/DisplayText&gt;&lt;record&gt;&lt;rec-number&gt;61&lt;/rec-number&gt;&lt;foreign-keys&gt;&lt;key app="EN" db-id="w0w9edzzlxxfdgesvf359ft8wzxverspwaav"&gt;61&lt;/key&gt;&lt;/foreign-keys&gt;&lt;ref-type name="Web Page"&gt;12&lt;/ref-type&gt;&lt;contributors&gt;&lt;authors&gt;&lt;author&gt;SENER&lt;/author&gt;&lt;/authors&gt;&lt;/contributors&gt;&lt;titles&gt;&lt;title&gt;Sistema de Información Energética&lt;/title&gt;&lt;/titles&gt;&lt;dates&gt;&lt;/dates&gt;&lt;urls&gt;&lt;related-urls&gt;&lt;url&gt;www.sie.energia.gob.mx&lt;/url&gt;&lt;/related-urls&gt;&lt;/urls&gt;&lt;/record&gt;&lt;/Cite&gt;&lt;/EndNote&gt;</w:instrText>
      </w:r>
      <w:r w:rsidR="00BC1E96" w:rsidRPr="008B43F6">
        <w:rPr>
          <w:rFonts w:cs="PresidenciaFina"/>
        </w:rPr>
        <w:fldChar w:fldCharType="separate"/>
      </w:r>
      <w:r w:rsidR="00BC1E96" w:rsidRPr="008B43F6">
        <w:rPr>
          <w:rFonts w:cs="PresidenciaFina"/>
          <w:noProof/>
        </w:rPr>
        <w:t>[</w:t>
      </w:r>
      <w:hyperlink w:anchor="_ENREF_8" w:tooltip="SENER,  #61" w:history="1">
        <w:r w:rsidR="00251C87" w:rsidRPr="008B43F6">
          <w:rPr>
            <w:rFonts w:cs="PresidenciaFina"/>
            <w:noProof/>
          </w:rPr>
          <w:t>8</w:t>
        </w:r>
      </w:hyperlink>
      <w:r w:rsidR="00BC1E96" w:rsidRPr="008B43F6">
        <w:rPr>
          <w:rFonts w:cs="PresidenciaFina"/>
          <w:noProof/>
        </w:rPr>
        <w:t>]</w:t>
      </w:r>
      <w:r w:rsidR="00BC1E96" w:rsidRPr="008B43F6">
        <w:rPr>
          <w:rFonts w:cs="PresidenciaFina"/>
        </w:rPr>
        <w:fldChar w:fldCharType="end"/>
      </w:r>
      <w:r w:rsidR="00BC1E96" w:rsidRPr="008B43F6">
        <w:rPr>
          <w:rFonts w:cs="PresidenciaFina"/>
        </w:rPr>
        <w:t>.</w:t>
      </w:r>
    </w:p>
    <w:p w:rsidR="00145324" w:rsidRPr="008B43F6" w:rsidRDefault="00145324" w:rsidP="00C12621">
      <w:pPr>
        <w:autoSpaceDE w:val="0"/>
        <w:autoSpaceDN w:val="0"/>
        <w:adjustRightInd w:val="0"/>
        <w:spacing w:after="0"/>
        <w:ind w:left="360"/>
        <w:jc w:val="both"/>
        <w:rPr>
          <w:rFonts w:cs="PresidenciaFina"/>
        </w:rPr>
      </w:pPr>
    </w:p>
    <w:p w:rsidR="0074284C" w:rsidRPr="008B43F6" w:rsidRDefault="007047A4" w:rsidP="00C12621">
      <w:pPr>
        <w:autoSpaceDE w:val="0"/>
        <w:autoSpaceDN w:val="0"/>
        <w:adjustRightInd w:val="0"/>
        <w:spacing w:after="0"/>
        <w:ind w:left="360"/>
        <w:jc w:val="both"/>
        <w:rPr>
          <w:rFonts w:cs="PresidenciaFina"/>
        </w:rPr>
      </w:pPr>
      <w:r w:rsidRPr="008B43F6">
        <w:rPr>
          <w:rFonts w:cs="PresidenciaFina"/>
        </w:rPr>
        <w:t>En el consumo energético por tipo de combustible, en 2010, destacan los productos petrolíferos, ya que 61.6% del consu</w:t>
      </w:r>
      <w:r w:rsidR="00F251D2" w:rsidRPr="008B43F6">
        <w:rPr>
          <w:rFonts w:cs="PresidenciaFina"/>
        </w:rPr>
        <w:t>mo de energía proviene de ellos, seguido por 12.4% de gas seco, 14.5 % de electricidad, 7.5% de fuentes renovables 3.8% de coque (de carbón y de petróleo).</w:t>
      </w:r>
    </w:p>
    <w:p w:rsidR="0074284C" w:rsidRPr="008B43F6" w:rsidRDefault="0074284C" w:rsidP="00C12621">
      <w:pPr>
        <w:autoSpaceDE w:val="0"/>
        <w:autoSpaceDN w:val="0"/>
        <w:adjustRightInd w:val="0"/>
        <w:spacing w:after="0"/>
        <w:ind w:left="360"/>
        <w:jc w:val="both"/>
        <w:rPr>
          <w:rFonts w:cs="PresidenciaFina"/>
        </w:rPr>
      </w:pPr>
    </w:p>
    <w:p w:rsidR="008B518E" w:rsidRPr="008B43F6" w:rsidRDefault="007047A4" w:rsidP="00C12621">
      <w:pPr>
        <w:autoSpaceDE w:val="0"/>
        <w:autoSpaceDN w:val="0"/>
        <w:adjustRightInd w:val="0"/>
        <w:spacing w:after="0"/>
        <w:ind w:left="360"/>
        <w:jc w:val="both"/>
        <w:rPr>
          <w:rFonts w:cs="PresidenciaFina"/>
        </w:rPr>
      </w:pPr>
      <w:r w:rsidRPr="008B43F6">
        <w:rPr>
          <w:rFonts w:cs="PresidenciaFina"/>
        </w:rPr>
        <w:t>En 2</w:t>
      </w:r>
      <w:r w:rsidR="00FD3308" w:rsidRPr="008B43F6">
        <w:rPr>
          <w:rFonts w:cs="PresidenciaFina"/>
        </w:rPr>
        <w:t>010</w:t>
      </w:r>
      <w:r w:rsidRPr="008B43F6">
        <w:rPr>
          <w:rFonts w:cs="PresidenciaFina"/>
        </w:rPr>
        <w:t xml:space="preserve"> la generación total de energía eléctrica para el servicio público ascendió a </w:t>
      </w:r>
      <w:r w:rsidR="00FD3308" w:rsidRPr="008B43F6">
        <w:rPr>
          <w:rFonts w:cs="PresidenciaFina"/>
        </w:rPr>
        <w:t>242,537 GWh,</w:t>
      </w:r>
      <w:r w:rsidRPr="008B43F6">
        <w:rPr>
          <w:rFonts w:cs="PresidenciaFina"/>
        </w:rPr>
        <w:t xml:space="preserve"> lo que significó un aumento de 3.16% respecto a 2009 </w:t>
      </w:r>
      <w:r w:rsidR="00057253" w:rsidRPr="008B43F6">
        <w:rPr>
          <w:rFonts w:cs="PresidenciaFina"/>
        </w:rPr>
        <w:fldChar w:fldCharType="begin"/>
      </w:r>
      <w:r w:rsidR="005F764E" w:rsidRPr="008B43F6">
        <w:rPr>
          <w:rFonts w:cs="PresidenciaFina"/>
        </w:rPr>
        <w:instrText xml:space="preserve"> ADDIN EN.CITE &lt;EndNote&gt;&lt;Cite&gt;&lt;Author&gt;SENER&lt;/Author&gt;&lt;Year&gt;2010&lt;/Year&gt;&lt;RecNum&gt;100&lt;/RecNum&gt;&lt;DisplayText&gt;[7]&lt;/DisplayText&gt;&lt;record&gt;&lt;rec-number&gt;100&lt;/rec-number&gt;&lt;foreign-keys&gt;&lt;key app="EN" db-id="w0w9edzzlxxfdgesvf359ft8wzxverspwaav"&gt;100&lt;/key&gt;&lt;/foreign-keys&gt;&lt;ref-type name="Government Document"&gt;46&lt;/ref-type&gt;&lt;contributors&gt;&lt;authors&gt;&lt;author&gt;SENER&lt;/author&gt;&lt;/authors&gt;&lt;/contributors&gt;&lt;titles&gt;&lt;title&gt;México y el Banco Interamericano de Desarrollo apoyarán ideas qu impulsen la innovación en tecnologías energéticas sustentables.&lt;/title&gt;&lt;/titles&gt;&lt;dates&gt;&lt;year&gt;2010&lt;/year&gt;&lt;/dates&gt;&lt;urls&gt;&lt;related-urls&gt;&lt;url&gt;http://www.sener.gob.mx/webSener/portal/Default.aspx?id=2017.&lt;/url&gt;&lt;/related-urls&gt;&lt;/urls&gt;&lt;/record&gt;&lt;/Cite&gt;&lt;/EndNote&gt;</w:instrText>
      </w:r>
      <w:r w:rsidR="00057253" w:rsidRPr="008B43F6">
        <w:rPr>
          <w:rFonts w:cs="PresidenciaFina"/>
        </w:rPr>
        <w:fldChar w:fldCharType="separate"/>
      </w:r>
      <w:r w:rsidR="00057253" w:rsidRPr="008B43F6">
        <w:rPr>
          <w:rFonts w:cs="PresidenciaFina"/>
          <w:noProof/>
        </w:rPr>
        <w:t>[</w:t>
      </w:r>
      <w:hyperlink w:anchor="_ENREF_7" w:tooltip="SENER, 2010 #100" w:history="1">
        <w:r w:rsidR="00251C87" w:rsidRPr="008B43F6">
          <w:rPr>
            <w:rFonts w:cs="PresidenciaFina"/>
            <w:noProof/>
          </w:rPr>
          <w:t>7</w:t>
        </w:r>
      </w:hyperlink>
      <w:r w:rsidR="00057253" w:rsidRPr="008B43F6">
        <w:rPr>
          <w:rFonts w:cs="PresidenciaFina"/>
          <w:noProof/>
        </w:rPr>
        <w:t>]</w:t>
      </w:r>
      <w:r w:rsidR="00057253" w:rsidRPr="008B43F6">
        <w:rPr>
          <w:rFonts w:cs="PresidenciaFina"/>
        </w:rPr>
        <w:fldChar w:fldCharType="end"/>
      </w:r>
      <w:r w:rsidR="00057253" w:rsidRPr="008B43F6">
        <w:rPr>
          <w:rFonts w:cs="PresidenciaFina"/>
        </w:rPr>
        <w:t>.</w:t>
      </w:r>
      <w:r w:rsidR="008B518E" w:rsidRPr="008B43F6">
        <w:t xml:space="preserve">Desde 1995, la demanda de electricidad en México ha crecido a un ritmo superior al 4% </w:t>
      </w:r>
      <w:r w:rsidR="00135E94" w:rsidRPr="008B43F6">
        <w:rPr>
          <w:rFonts w:cs="PresidenciaFina"/>
        </w:rPr>
        <w:t xml:space="preserve"> </w:t>
      </w:r>
      <w:r w:rsidR="008B518E" w:rsidRPr="008B43F6">
        <w:t>anual. La gestión de este crecimiento a través de medidas</w:t>
      </w:r>
      <w:r w:rsidR="00135E94" w:rsidRPr="008B43F6">
        <w:t xml:space="preserve"> de uso eficiente de energía en </w:t>
      </w:r>
      <w:r w:rsidR="008B518E" w:rsidRPr="008B43F6">
        <w:t>los sectores de consumo final será fundamental para mitigar las emisiones de GEI.</w:t>
      </w:r>
      <w:r w:rsidR="00135E94" w:rsidRPr="008B43F6">
        <w:rPr>
          <w:rFonts w:cs="PresidenciaFina"/>
        </w:rPr>
        <w:t xml:space="preserve"> </w:t>
      </w:r>
      <w:r w:rsidR="008B518E" w:rsidRPr="008B43F6">
        <w:t xml:space="preserve">El aire acondicionado, la refrigeración y los productos electrónicos serán las áreas </w:t>
      </w:r>
      <w:r w:rsidR="00135E94" w:rsidRPr="008B43F6">
        <w:rPr>
          <w:rFonts w:cs="PresidenciaFina"/>
        </w:rPr>
        <w:t xml:space="preserve"> </w:t>
      </w:r>
      <w:r w:rsidR="008B518E" w:rsidRPr="008B43F6">
        <w:t xml:space="preserve">principales en las cuales crecerá la demanda de electricidad en el sector residencial en </w:t>
      </w:r>
      <w:r w:rsidR="00135E94" w:rsidRPr="008B43F6">
        <w:rPr>
          <w:rFonts w:cs="PresidenciaFina"/>
        </w:rPr>
        <w:t xml:space="preserve"> </w:t>
      </w:r>
      <w:r w:rsidR="008B518E" w:rsidRPr="008B43F6">
        <w:t>México</w:t>
      </w:r>
      <w:r w:rsidR="00057253" w:rsidRPr="008B43F6">
        <w:t xml:space="preserve"> </w:t>
      </w:r>
      <w:r w:rsidR="00057253" w:rsidRPr="008B43F6">
        <w:fldChar w:fldCharType="begin"/>
      </w:r>
      <w:r w:rsidR="00057253" w:rsidRPr="008B43F6">
        <w:instrText xml:space="preserve"> ADDIN EN.CITE &lt;EndNote&gt;&lt;Cite&gt;&lt;Author&gt;Johnson&lt;/Author&gt;&lt;Year&gt;2009&lt;/Year&gt;&lt;RecNum&gt;101&lt;/RecNum&gt;&lt;DisplayText&gt;[9]&lt;/DisplayText&gt;&lt;record&gt;&lt;rec-number&gt;101&lt;/rec-number&gt;&lt;foreign-keys&gt;&lt;key app="EN" db-id="w0w9edzzlxxfdgesvf359ft8wzxverspwaav"&gt;101&lt;/key&gt;&lt;/foreign-keys&gt;&lt;ref-type name="Report"&gt;27&lt;/ref-type&gt;&lt;contributors&gt;&lt;authors&gt;&lt;author&gt;Todd M. Johnson &lt;/author&gt;&lt;author&gt;claudio Alatorre &lt;/author&gt;&lt;author&gt;Zayra Romo &lt;/author&gt;&lt;author&gt;Feng Liu&lt;/author&gt;&lt;/authors&gt;&lt;secondary-authors&gt;&lt;author&gt;Banco Mundial&lt;/author&gt;&lt;/secondary-authors&gt;&lt;/contributors&gt;&lt;titles&gt;&lt;title&gt;México: estudio sobre la disminución de emisiones de carbono&lt;/title&gt;&lt;/titles&gt;&lt;dates&gt;&lt;year&gt;2009&lt;/year&gt;&lt;/dates&gt;&lt;urls&gt;&lt;related-urls&gt;&lt;url&gt;http://siteresources.worldbank.org/INTLACINSPANISH/Resources/WB_MX_MEDEC_Spanish_Final_Nov_09.pdf&lt;/url&gt;&lt;/related-urls&gt;&lt;/urls&gt;&lt;/record&gt;&lt;/Cite&gt;&lt;/EndNote&gt;</w:instrText>
      </w:r>
      <w:r w:rsidR="00057253" w:rsidRPr="008B43F6">
        <w:fldChar w:fldCharType="separate"/>
      </w:r>
      <w:r w:rsidR="00057253" w:rsidRPr="008B43F6">
        <w:rPr>
          <w:noProof/>
        </w:rPr>
        <w:t>[</w:t>
      </w:r>
      <w:hyperlink w:anchor="_ENREF_9" w:tooltip="Johnson, 2009 #101" w:history="1">
        <w:r w:rsidR="00251C87" w:rsidRPr="008B43F6">
          <w:rPr>
            <w:noProof/>
          </w:rPr>
          <w:t>9</w:t>
        </w:r>
      </w:hyperlink>
      <w:r w:rsidR="00057253" w:rsidRPr="008B43F6">
        <w:rPr>
          <w:noProof/>
        </w:rPr>
        <w:t>]</w:t>
      </w:r>
      <w:r w:rsidR="00057253" w:rsidRPr="008B43F6">
        <w:fldChar w:fldCharType="end"/>
      </w:r>
      <w:r w:rsidR="008B518E" w:rsidRPr="008B43F6">
        <w:t>.</w:t>
      </w:r>
    </w:p>
    <w:p w:rsidR="007047A4" w:rsidRPr="008B43F6" w:rsidRDefault="007047A4" w:rsidP="00C12621">
      <w:pPr>
        <w:pStyle w:val="Ttulo2"/>
        <w:jc w:val="both"/>
        <w:rPr>
          <w:rFonts w:asciiTheme="minorHAnsi" w:hAnsiTheme="minorHAnsi"/>
        </w:rPr>
      </w:pPr>
      <w:bookmarkStart w:id="25" w:name="_Toc350874961"/>
      <w:bookmarkStart w:id="26" w:name="_Toc351397573"/>
      <w:r w:rsidRPr="008B43F6">
        <w:rPr>
          <w:rFonts w:asciiTheme="minorHAnsi" w:hAnsiTheme="minorHAnsi"/>
        </w:rPr>
        <w:t>2.3 Medio ambiente</w:t>
      </w:r>
      <w:bookmarkEnd w:id="25"/>
      <w:bookmarkEnd w:id="26"/>
    </w:p>
    <w:p w:rsidR="008B518E" w:rsidRPr="008B43F6" w:rsidRDefault="0039754C" w:rsidP="00C12621">
      <w:pPr>
        <w:autoSpaceDE w:val="0"/>
        <w:autoSpaceDN w:val="0"/>
        <w:adjustRightInd w:val="0"/>
        <w:spacing w:after="0"/>
        <w:ind w:left="360"/>
        <w:jc w:val="both"/>
        <w:rPr>
          <w:rFonts w:cs="PresidenciaFina"/>
        </w:rPr>
      </w:pPr>
      <w:r w:rsidRPr="008B43F6">
        <w:rPr>
          <w:rFonts w:cs="PresidenciaFina"/>
        </w:rPr>
        <w:t xml:space="preserve">El </w:t>
      </w:r>
      <w:r w:rsidR="00A5109B" w:rsidRPr="008B43F6">
        <w:rPr>
          <w:rFonts w:cs="PresidenciaFina"/>
        </w:rPr>
        <w:t>c</w:t>
      </w:r>
      <w:r w:rsidRPr="008B43F6">
        <w:rPr>
          <w:rFonts w:cs="PresidenciaFina"/>
        </w:rPr>
        <w:t>ambio climático es, sin duda, uno de los principales retos a los que se enfrenta el país. México se ubica entre los países con mayor vuln</w:t>
      </w:r>
      <w:r w:rsidR="002F4E7A" w:rsidRPr="008B43F6">
        <w:rPr>
          <w:rFonts w:cs="PresidenciaFina"/>
        </w:rPr>
        <w:t xml:space="preserve">erabilidad, debido a que 15% </w:t>
      </w:r>
      <w:r w:rsidRPr="008B43F6">
        <w:rPr>
          <w:rFonts w:cs="PresidenciaFina"/>
        </w:rPr>
        <w:t>de su territorio nacional, 68</w:t>
      </w:r>
      <w:r w:rsidR="002F4E7A" w:rsidRPr="008B43F6">
        <w:rPr>
          <w:rFonts w:cs="PresidenciaFina"/>
        </w:rPr>
        <w:t>.2%  de su población y 71%</w:t>
      </w:r>
      <w:r w:rsidRPr="008B43F6">
        <w:rPr>
          <w:rFonts w:cs="PresidenciaFina"/>
        </w:rPr>
        <w:t xml:space="preserve"> de su PIB se encuentran altamente expuestos al riesgo de impactos adversos directos del cambio climático. </w:t>
      </w:r>
      <w:r w:rsidR="008B518E" w:rsidRPr="008B43F6">
        <w:rPr>
          <w:rFonts w:cs="PresidenciaFina"/>
        </w:rPr>
        <w:t>Para 2020 se proy</w:t>
      </w:r>
      <w:r w:rsidRPr="008B43F6">
        <w:rPr>
          <w:rFonts w:cs="PresidenciaFina"/>
        </w:rPr>
        <w:t xml:space="preserve">ecta un incremento promedio de </w:t>
      </w:r>
      <w:r w:rsidR="008B518E" w:rsidRPr="008B43F6">
        <w:rPr>
          <w:rFonts w:cs="PresidenciaFina"/>
        </w:rPr>
        <w:t xml:space="preserve"> temperatura para el pa</w:t>
      </w:r>
      <w:r w:rsidRPr="008B43F6">
        <w:rPr>
          <w:rFonts w:cs="PresidenciaFina"/>
        </w:rPr>
        <w:t>ís que va entre 0.6°C y 1°C; y</w:t>
      </w:r>
      <w:r w:rsidR="008B518E" w:rsidRPr="008B43F6">
        <w:rPr>
          <w:rFonts w:cs="PresidenciaFina"/>
        </w:rPr>
        <w:t xml:space="preserve"> p</w:t>
      </w:r>
      <w:r w:rsidRPr="008B43F6">
        <w:rPr>
          <w:rFonts w:cs="PresidenciaFina"/>
        </w:rPr>
        <w:t>ara 2050, entre 1.5°C y 2.3°C</w:t>
      </w:r>
      <w:r w:rsidR="00057253" w:rsidRPr="008B43F6">
        <w:rPr>
          <w:rFonts w:cs="PresidenciaFina"/>
        </w:rPr>
        <w:t xml:space="preserve"> </w:t>
      </w:r>
      <w:r w:rsidR="00057253" w:rsidRPr="008B43F6">
        <w:rPr>
          <w:rFonts w:cs="PresidenciaFina"/>
        </w:rPr>
        <w:fldChar w:fldCharType="begin"/>
      </w:r>
      <w:r w:rsidR="00057253" w:rsidRPr="008B43F6">
        <w:rPr>
          <w:rFonts w:cs="PresidenciaFina"/>
        </w:rPr>
        <w:instrText xml:space="preserve"> ADDIN EN.CITE &lt;EndNote&gt;&lt;Cite&gt;&lt;Year&gt;2010&lt;/Year&gt;&lt;RecNum&gt;102&lt;/RecNum&gt;&lt;DisplayText&gt;[10]&lt;/DisplayText&gt;&lt;record&gt;&lt;rec-number&gt;102&lt;/rec-number&gt;&lt;foreign-keys&gt;&lt;key app="EN" db-id="w0w9edzzlxxfdgesvf359ft8wzxverspwaav"&gt;102&lt;/key&gt;&lt;/foreign-keys&gt;&lt;ref-type name="Report"&gt;27&lt;/ref-type&gt;&lt;contributors&gt;&lt;secondary-authors&gt;&lt;author&gt;Greenpeace&lt;/author&gt;&lt;/secondary-authors&gt;&lt;/contributors&gt;&lt;titles&gt;&lt;title&gt;México ante el cambio climático. Evidencias, Impactos, vulnerabilidad y adaptación.&lt;/title&gt;&lt;/titles&gt;&lt;dates&gt;&lt;year&gt;2010&lt;/year&gt;&lt;/dates&gt;&lt;urls&gt;&lt;related-urls&gt;&lt;url&gt;http://www.greenpeace.org/mexico/Global/mexico/report/2010/6/vulnerabilidad-mexico.pdf&lt;/url&gt;&lt;/related-urls&gt;&lt;/urls&gt;&lt;/record&gt;&lt;/Cite&gt;&lt;/EndNote&gt;</w:instrText>
      </w:r>
      <w:r w:rsidR="00057253" w:rsidRPr="008B43F6">
        <w:rPr>
          <w:rFonts w:cs="PresidenciaFina"/>
        </w:rPr>
        <w:fldChar w:fldCharType="separate"/>
      </w:r>
      <w:r w:rsidR="00057253" w:rsidRPr="008B43F6">
        <w:rPr>
          <w:rFonts w:cs="PresidenciaFina"/>
          <w:noProof/>
        </w:rPr>
        <w:t>[</w:t>
      </w:r>
      <w:hyperlink w:anchor="_ENREF_10" w:tooltip=", 2010 #102" w:history="1">
        <w:r w:rsidR="00251C87" w:rsidRPr="008B43F6">
          <w:rPr>
            <w:rFonts w:cs="PresidenciaFina"/>
            <w:noProof/>
          </w:rPr>
          <w:t>10</w:t>
        </w:r>
      </w:hyperlink>
      <w:r w:rsidR="00057253" w:rsidRPr="008B43F6">
        <w:rPr>
          <w:rFonts w:cs="PresidenciaFina"/>
          <w:noProof/>
        </w:rPr>
        <w:t>]</w:t>
      </w:r>
      <w:r w:rsidR="00057253" w:rsidRPr="008B43F6">
        <w:rPr>
          <w:rFonts w:cs="PresidenciaFina"/>
        </w:rPr>
        <w:fldChar w:fldCharType="end"/>
      </w:r>
      <w:r w:rsidRPr="008B43F6">
        <w:rPr>
          <w:rFonts w:cs="PresidenciaFina"/>
        </w:rPr>
        <w:t xml:space="preserve">. </w:t>
      </w:r>
    </w:p>
    <w:p w:rsidR="00057253" w:rsidRPr="008B43F6" w:rsidRDefault="00057253" w:rsidP="00C12621">
      <w:pPr>
        <w:autoSpaceDE w:val="0"/>
        <w:autoSpaceDN w:val="0"/>
        <w:adjustRightInd w:val="0"/>
        <w:spacing w:after="0"/>
        <w:ind w:left="360"/>
        <w:jc w:val="both"/>
        <w:rPr>
          <w:rFonts w:cs="PresidenciaFina"/>
        </w:rPr>
      </w:pPr>
    </w:p>
    <w:p w:rsidR="000F3434" w:rsidRPr="008B43F6" w:rsidRDefault="000F3434" w:rsidP="00C12621">
      <w:pPr>
        <w:autoSpaceDE w:val="0"/>
        <w:autoSpaceDN w:val="0"/>
        <w:adjustRightInd w:val="0"/>
        <w:spacing w:after="0"/>
        <w:ind w:left="360"/>
        <w:jc w:val="both"/>
        <w:rPr>
          <w:rFonts w:cs="PresidenciaFina"/>
        </w:rPr>
      </w:pPr>
      <w:r w:rsidRPr="008B43F6">
        <w:rPr>
          <w:rFonts w:cs="PresidenciaFina"/>
        </w:rPr>
        <w:t>El agua</w:t>
      </w:r>
      <w:r w:rsidR="009915A5" w:rsidRPr="008B43F6">
        <w:rPr>
          <w:rFonts w:cs="PresidenciaFina"/>
        </w:rPr>
        <w:t xml:space="preserve"> es otro de los grandes retos ambientales de México. Aunque México presenta todo el espectro de categorías de disponibilidad de agua en sus regiones hidrológico-administrativas, más de 75 millones de habitantes en el país (alrededor del 66% de la población  nacional) se encontraban en situación de estrés  hídrico en 2010. En el futuro, la disponibilidad per cápita en algunas zonas del país podría  agravarse significativamente </w:t>
      </w:r>
      <w:r w:rsidR="00057253" w:rsidRPr="008B43F6">
        <w:rPr>
          <w:rFonts w:cs="PresidenciaFina"/>
        </w:rPr>
        <w:fldChar w:fldCharType="begin"/>
      </w:r>
      <w:r w:rsidR="00057253" w:rsidRPr="008B43F6">
        <w:rPr>
          <w:rFonts w:cs="PresidenciaFina"/>
        </w:rPr>
        <w:instrText xml:space="preserve"> ADDIN EN.CITE &lt;EndNote&gt;&lt;Cite&gt;&lt;Author&gt;SEMARNAT&lt;/Author&gt;&lt;Year&gt;2010&lt;/Year&gt;&lt;RecNum&gt;103&lt;/RecNum&gt;&lt;DisplayText&gt;[11]&lt;/DisplayText&gt;&lt;record&gt;&lt;rec-number&gt;103&lt;/rec-number&gt;&lt;foreign-keys&gt;&lt;key app="EN" db-id="w0w9edzzlxxfdgesvf359ft8wzxverspwaav"&gt;103&lt;/key&gt;&lt;/foreign-keys&gt;&lt;ref-type name="Government Document"&gt;46&lt;/ref-type&gt;&lt;contributors&gt;&lt;authors&gt;&lt;author&gt;SEMARNAT&lt;/author&gt;&lt;/authors&gt;&lt;/contributors&gt;&lt;titles&gt;&lt;title&gt;Informe de la situación ambiental en México &lt;/title&gt;&lt;/titles&gt;&lt;dates&gt;&lt;year&gt;2010&lt;/year&gt;&lt;/dates&gt;&lt;urls&gt;&lt;related-urls&gt;&lt;url&gt;http://app1.semarnat.gob.mx/dgeia/informe_12/pdf/Informe_2012.pdf&lt;/url&gt;&lt;/related-urls&gt;&lt;/urls&gt;&lt;/record&gt;&lt;/Cite&gt;&lt;/EndNote&gt;</w:instrText>
      </w:r>
      <w:r w:rsidR="00057253" w:rsidRPr="008B43F6">
        <w:rPr>
          <w:rFonts w:cs="PresidenciaFina"/>
        </w:rPr>
        <w:fldChar w:fldCharType="separate"/>
      </w:r>
      <w:r w:rsidR="00057253" w:rsidRPr="008B43F6">
        <w:rPr>
          <w:rFonts w:cs="PresidenciaFina"/>
          <w:noProof/>
        </w:rPr>
        <w:t>[</w:t>
      </w:r>
      <w:hyperlink w:anchor="_ENREF_11" w:tooltip="SEMARNAT, 2010 #103" w:history="1">
        <w:r w:rsidR="00251C87" w:rsidRPr="008B43F6">
          <w:rPr>
            <w:rFonts w:cs="PresidenciaFina"/>
            <w:noProof/>
          </w:rPr>
          <w:t>11</w:t>
        </w:r>
      </w:hyperlink>
      <w:r w:rsidR="00057253" w:rsidRPr="008B43F6">
        <w:rPr>
          <w:rFonts w:cs="PresidenciaFina"/>
          <w:noProof/>
        </w:rPr>
        <w:t>]</w:t>
      </w:r>
      <w:r w:rsidR="00057253" w:rsidRPr="008B43F6">
        <w:rPr>
          <w:rFonts w:cs="PresidenciaFina"/>
        </w:rPr>
        <w:fldChar w:fldCharType="end"/>
      </w:r>
      <w:r w:rsidR="009915A5" w:rsidRPr="008B43F6">
        <w:rPr>
          <w:rFonts w:cs="PresidenciaFina"/>
        </w:rPr>
        <w:t xml:space="preserve">. </w:t>
      </w:r>
      <w:r w:rsidRPr="008B43F6">
        <w:rPr>
          <w:rFonts w:cs="PresidenciaFina"/>
        </w:rPr>
        <w:t>El fenómeno del cambio climático tenderá a agudizar aún más la crisis de agua, debido, entre otros factores,  a la disminución de la precipitación pluvial, dando por resultado que más regiones hidrológico-administrativas  tengan problemas intermitentes de escasez de agua</w:t>
      </w:r>
      <w:r w:rsidR="00057253" w:rsidRPr="008B43F6">
        <w:rPr>
          <w:rFonts w:cs="PresidenciaFina"/>
        </w:rPr>
        <w:t xml:space="preserve"> </w:t>
      </w:r>
      <w:r w:rsidR="00057253" w:rsidRPr="008B43F6">
        <w:rPr>
          <w:rFonts w:cs="PresidenciaFina"/>
        </w:rPr>
        <w:fldChar w:fldCharType="begin"/>
      </w:r>
      <w:r w:rsidR="00057253" w:rsidRPr="008B43F6">
        <w:rPr>
          <w:rFonts w:cs="PresidenciaFina"/>
        </w:rPr>
        <w:instrText xml:space="preserve"> ADDIN EN.CITE &lt;EndNote&gt;&lt;Cite&gt;&lt;Year&gt;2010&lt;/Year&gt;&lt;RecNum&gt;102&lt;/RecNum&gt;&lt;DisplayText&gt;[10]&lt;/DisplayText&gt;&lt;record&gt;&lt;rec-number&gt;102&lt;/rec-number&gt;&lt;foreign-keys&gt;&lt;key app="EN" db-id="w0w9edzzlxxfdgesvf359ft8wzxverspwaav"&gt;102&lt;/key&gt;&lt;/foreign-keys&gt;&lt;ref-type name="Report"&gt;27&lt;/ref-type&gt;&lt;contributors&gt;&lt;secondary-authors&gt;&lt;author&gt;Greenpeace&lt;/author&gt;&lt;/secondary-authors&gt;&lt;/contributors&gt;&lt;titles&gt;&lt;title&gt;México ante el cambio climático. Evidencias, Impactos, vulnerabilidad y adaptación.&lt;/title&gt;&lt;/titles&gt;&lt;dates&gt;&lt;year&gt;2010&lt;/year&gt;&lt;/dates&gt;&lt;urls&gt;&lt;related-urls&gt;&lt;url&gt;http://www.greenpeace.org/mexico/Global/mexico/report/2010/6/vulnerabilidad-mexico.pdf&lt;/url&gt;&lt;/related-urls&gt;&lt;/urls&gt;&lt;/record&gt;&lt;/Cite&gt;&lt;/EndNote&gt;</w:instrText>
      </w:r>
      <w:r w:rsidR="00057253" w:rsidRPr="008B43F6">
        <w:rPr>
          <w:rFonts w:cs="PresidenciaFina"/>
        </w:rPr>
        <w:fldChar w:fldCharType="separate"/>
      </w:r>
      <w:r w:rsidR="00057253" w:rsidRPr="008B43F6">
        <w:rPr>
          <w:rFonts w:cs="PresidenciaFina"/>
          <w:noProof/>
        </w:rPr>
        <w:t>[</w:t>
      </w:r>
      <w:hyperlink w:anchor="_ENREF_10" w:tooltip=", 2010 #102" w:history="1">
        <w:r w:rsidR="00251C87" w:rsidRPr="008B43F6">
          <w:rPr>
            <w:rFonts w:cs="PresidenciaFina"/>
            <w:noProof/>
          </w:rPr>
          <w:t>10</w:t>
        </w:r>
      </w:hyperlink>
      <w:r w:rsidR="00057253" w:rsidRPr="008B43F6">
        <w:rPr>
          <w:rFonts w:cs="PresidenciaFina"/>
          <w:noProof/>
        </w:rPr>
        <w:t>]</w:t>
      </w:r>
      <w:r w:rsidR="00057253" w:rsidRPr="008B43F6">
        <w:rPr>
          <w:rFonts w:cs="PresidenciaFina"/>
        </w:rPr>
        <w:fldChar w:fldCharType="end"/>
      </w:r>
      <w:r w:rsidRPr="008B43F6">
        <w:rPr>
          <w:rFonts w:cs="PresidenciaFina"/>
        </w:rPr>
        <w:t>.</w:t>
      </w:r>
    </w:p>
    <w:p w:rsidR="00057253" w:rsidRPr="008B43F6" w:rsidRDefault="00057253" w:rsidP="00C12621">
      <w:pPr>
        <w:autoSpaceDE w:val="0"/>
        <w:autoSpaceDN w:val="0"/>
        <w:adjustRightInd w:val="0"/>
        <w:spacing w:after="0"/>
        <w:ind w:left="360"/>
        <w:jc w:val="both"/>
        <w:rPr>
          <w:rFonts w:cs="PresidenciaFina"/>
        </w:rPr>
      </w:pPr>
    </w:p>
    <w:p w:rsidR="0074284C" w:rsidRPr="008B43F6" w:rsidRDefault="009915A5" w:rsidP="00C12621">
      <w:pPr>
        <w:autoSpaceDE w:val="0"/>
        <w:autoSpaceDN w:val="0"/>
        <w:adjustRightInd w:val="0"/>
        <w:spacing w:after="0"/>
        <w:ind w:left="360"/>
        <w:jc w:val="both"/>
        <w:rPr>
          <w:rFonts w:cs="PresidenciaFina"/>
        </w:rPr>
      </w:pPr>
      <w:r w:rsidRPr="008B43F6">
        <w:rPr>
          <w:rFonts w:cs="PresidenciaFina"/>
        </w:rPr>
        <w:t>La calidad del aire es otro reto ambiental importante, particularmente por sus efectos en la salud. La contaminación del aire</w:t>
      </w:r>
      <w:r w:rsidR="000F3434" w:rsidRPr="008B43F6">
        <w:rPr>
          <w:rFonts w:cs="PresidenciaFina"/>
        </w:rPr>
        <w:t xml:space="preserve"> se ha asociado con un incremento en las  admisiones hospitalarias por infecciones respiratorias de vías bajas y el asma en niños.</w:t>
      </w:r>
      <w:r w:rsidRPr="008B43F6">
        <w:rPr>
          <w:rFonts w:cs="PresidenciaFina"/>
        </w:rPr>
        <w:t xml:space="preserve"> </w:t>
      </w:r>
      <w:r w:rsidR="000B5303" w:rsidRPr="008B43F6">
        <w:rPr>
          <w:rFonts w:cs="PresidenciaFina"/>
        </w:rPr>
        <w:t xml:space="preserve"> Los efectos en la calidad del aire, principalmente en las zonas urbanas es un tema de gran interés y preocupación, pues el aumento en la temperatura  puede agravar la contaminación por ozono. </w:t>
      </w:r>
      <w:r w:rsidR="000B5303" w:rsidRPr="008B43F6">
        <w:rPr>
          <w:rFonts w:cs="PresidenciaFina"/>
        </w:rPr>
        <w:lastRenderedPageBreak/>
        <w:t>Algunas enfermedades respiratorias y alergias ya se han visto agravadas como consecuencia de las alteraciones qu</w:t>
      </w:r>
      <w:r w:rsidR="00057253" w:rsidRPr="008B43F6">
        <w:rPr>
          <w:rFonts w:cs="PresidenciaFina"/>
        </w:rPr>
        <w:t xml:space="preserve">e está sufriendo nuestro clima </w:t>
      </w:r>
      <w:r w:rsidR="00057253" w:rsidRPr="008B43F6">
        <w:rPr>
          <w:rFonts w:cs="PresidenciaFina"/>
        </w:rPr>
        <w:fldChar w:fldCharType="begin"/>
      </w:r>
      <w:r w:rsidR="00057253" w:rsidRPr="008B43F6">
        <w:rPr>
          <w:rFonts w:cs="PresidenciaFina"/>
        </w:rPr>
        <w:instrText xml:space="preserve"> ADDIN EN.CITE &lt;EndNote&gt;&lt;Cite&gt;&lt;Year&gt;2010&lt;/Year&gt;&lt;RecNum&gt;102&lt;/RecNum&gt;&lt;DisplayText&gt;[10]&lt;/DisplayText&gt;&lt;record&gt;&lt;rec-number&gt;102&lt;/rec-number&gt;&lt;foreign-keys&gt;&lt;key app="EN" db-id="w0w9edzzlxxfdgesvf359ft8wzxverspwaav"&gt;102&lt;/key&gt;&lt;/foreign-keys&gt;&lt;ref-type name="Report"&gt;27&lt;/ref-type&gt;&lt;contributors&gt;&lt;secondary-authors&gt;&lt;author&gt;Greenpeace&lt;/author&gt;&lt;/secondary-authors&gt;&lt;/contributors&gt;&lt;titles&gt;&lt;title&gt;México ante el cambio climático. Evidencias, Impactos, vulnerabilidad y adaptación.&lt;/title&gt;&lt;/titles&gt;&lt;dates&gt;&lt;year&gt;2010&lt;/year&gt;&lt;/dates&gt;&lt;urls&gt;&lt;related-urls&gt;&lt;url&gt;http://www.greenpeace.org/mexico/Global/mexico/report/2010/6/vulnerabilidad-mexico.pdf&lt;/url&gt;&lt;/related-urls&gt;&lt;/urls&gt;&lt;/record&gt;&lt;/Cite&gt;&lt;/EndNote&gt;</w:instrText>
      </w:r>
      <w:r w:rsidR="00057253" w:rsidRPr="008B43F6">
        <w:rPr>
          <w:rFonts w:cs="PresidenciaFina"/>
        </w:rPr>
        <w:fldChar w:fldCharType="separate"/>
      </w:r>
      <w:r w:rsidR="00057253" w:rsidRPr="008B43F6">
        <w:rPr>
          <w:rFonts w:cs="PresidenciaFina"/>
          <w:noProof/>
        </w:rPr>
        <w:t>[</w:t>
      </w:r>
      <w:hyperlink w:anchor="_ENREF_10" w:tooltip=", 2010 #102" w:history="1">
        <w:r w:rsidR="00251C87" w:rsidRPr="008B43F6">
          <w:rPr>
            <w:rFonts w:cs="PresidenciaFina"/>
            <w:noProof/>
          </w:rPr>
          <w:t>10</w:t>
        </w:r>
      </w:hyperlink>
      <w:r w:rsidR="00057253" w:rsidRPr="008B43F6">
        <w:rPr>
          <w:rFonts w:cs="PresidenciaFina"/>
          <w:noProof/>
        </w:rPr>
        <w:t>]</w:t>
      </w:r>
      <w:r w:rsidR="00057253" w:rsidRPr="008B43F6">
        <w:rPr>
          <w:rFonts w:cs="PresidenciaFina"/>
        </w:rPr>
        <w:fldChar w:fldCharType="end"/>
      </w:r>
      <w:r w:rsidR="00057253" w:rsidRPr="008B43F6">
        <w:rPr>
          <w:rFonts w:cs="PresidenciaFina"/>
        </w:rPr>
        <w:t>.</w:t>
      </w:r>
      <w:bookmarkStart w:id="27" w:name="_Toc350874962"/>
    </w:p>
    <w:p w:rsidR="007047A4" w:rsidRPr="008B43F6" w:rsidRDefault="007047A4" w:rsidP="00C12621">
      <w:pPr>
        <w:pStyle w:val="Ttulo2"/>
        <w:ind w:left="708" w:hanging="708"/>
        <w:jc w:val="both"/>
        <w:rPr>
          <w:rFonts w:asciiTheme="minorHAnsi" w:hAnsiTheme="minorHAnsi"/>
        </w:rPr>
      </w:pPr>
      <w:bookmarkStart w:id="28" w:name="_Toc351397574"/>
      <w:r w:rsidRPr="008B43F6">
        <w:rPr>
          <w:rFonts w:asciiTheme="minorHAnsi" w:hAnsiTheme="minorHAnsi"/>
        </w:rPr>
        <w:t>2.4 Salud</w:t>
      </w:r>
      <w:bookmarkEnd w:id="27"/>
      <w:bookmarkEnd w:id="28"/>
    </w:p>
    <w:p w:rsidR="00486591" w:rsidRPr="008B43F6" w:rsidRDefault="00486591" w:rsidP="00C12621">
      <w:pPr>
        <w:autoSpaceDE w:val="0"/>
        <w:autoSpaceDN w:val="0"/>
        <w:adjustRightInd w:val="0"/>
        <w:spacing w:after="0"/>
        <w:jc w:val="both"/>
        <w:rPr>
          <w:rFonts w:cs="PresidenciaFina"/>
          <w:color w:val="FF0000"/>
        </w:rPr>
      </w:pPr>
    </w:p>
    <w:p w:rsidR="000F34E8" w:rsidRPr="008B43F6" w:rsidRDefault="00A96613" w:rsidP="00C12621">
      <w:pPr>
        <w:autoSpaceDE w:val="0"/>
        <w:autoSpaceDN w:val="0"/>
        <w:adjustRightInd w:val="0"/>
        <w:spacing w:after="0"/>
        <w:ind w:left="360"/>
        <w:jc w:val="both"/>
        <w:rPr>
          <w:rFonts w:cs="PresidenciaFina"/>
        </w:rPr>
      </w:pPr>
      <w:r w:rsidRPr="008B43F6">
        <w:rPr>
          <w:rFonts w:cs="PresidenciaFina"/>
        </w:rPr>
        <w:t xml:space="preserve">En años recientes, México ha mejorado las condiciones de salud de su población. </w:t>
      </w:r>
      <w:r w:rsidR="000F34E8" w:rsidRPr="008B43F6">
        <w:rPr>
          <w:rFonts w:cs="PresidenciaFina"/>
        </w:rPr>
        <w:t>Esto se ve reflejado en l</w:t>
      </w:r>
      <w:r w:rsidRPr="008B43F6">
        <w:rPr>
          <w:rFonts w:cs="PresidenciaFina"/>
        </w:rPr>
        <w:t>a reducción en la mortalidad infantil y la erradicación de algu</w:t>
      </w:r>
      <w:r w:rsidR="000F34E8" w:rsidRPr="008B43F6">
        <w:rPr>
          <w:rFonts w:cs="PresidenciaFina"/>
        </w:rPr>
        <w:t xml:space="preserve">nas enfermedades por vacunación </w:t>
      </w:r>
      <w:r w:rsidRPr="008B43F6">
        <w:rPr>
          <w:rFonts w:cs="PresidenciaFina"/>
        </w:rPr>
        <w:fldChar w:fldCharType="begin"/>
      </w:r>
      <w:r w:rsidRPr="008B43F6">
        <w:rPr>
          <w:rFonts w:cs="PresidenciaFina"/>
        </w:rPr>
        <w:instrText xml:space="preserve"> ADDIN EN.CITE &lt;EndNote&gt;&lt;Cite&gt;&lt;Year&gt;2012&lt;/Year&gt;&lt;RecNum&gt;90&lt;/RecNum&gt;&lt;DisplayText&gt;[5]&lt;/DisplayText&gt;&lt;record&gt;&lt;rec-number&gt;90&lt;/rec-number&gt;&lt;foreign-keys&gt;&lt;key app="EN" db-id="w0w9edzzlxxfdgesvf359ft8wzxverspwaav"&gt;90&lt;/key&gt;&lt;/foreign-keys&gt;&lt;ref-type name="Report"&gt;27&lt;/ref-type&gt;&lt;contributors&gt;&lt;/contributors&gt;&lt;titles&gt;&lt;title&gt;La Salud en México: 2206/2012&lt;/title&gt;&lt;/titles&gt;&lt;dates&gt;&lt;year&gt;2012&lt;/year&gt;&lt;/dates&gt;&lt;publisher&gt;Fundación Mexicana para la Salud &lt;/publisher&gt;&lt;urls&gt;&lt;/urls&gt;&lt;/record&gt;&lt;/Cite&gt;&lt;/EndNote&gt;</w:instrText>
      </w:r>
      <w:r w:rsidRPr="008B43F6">
        <w:rPr>
          <w:rFonts w:cs="PresidenciaFina"/>
        </w:rPr>
        <w:fldChar w:fldCharType="separate"/>
      </w:r>
      <w:r w:rsidRPr="008B43F6">
        <w:rPr>
          <w:rFonts w:cs="PresidenciaFina"/>
        </w:rPr>
        <w:t>[</w:t>
      </w:r>
      <w:hyperlink w:anchor="_ENREF_5" w:tooltip=", 2012 #90" w:history="1">
        <w:r w:rsidR="00251C87" w:rsidRPr="008B43F6">
          <w:rPr>
            <w:rFonts w:cs="PresidenciaFina"/>
          </w:rPr>
          <w:t>5</w:t>
        </w:r>
      </w:hyperlink>
      <w:r w:rsidRPr="008B43F6">
        <w:rPr>
          <w:rFonts w:cs="PresidenciaFina"/>
        </w:rPr>
        <w:t>]</w:t>
      </w:r>
      <w:r w:rsidRPr="008B43F6">
        <w:rPr>
          <w:rFonts w:cs="PresidenciaFina"/>
        </w:rPr>
        <w:fldChar w:fldCharType="end"/>
      </w:r>
      <w:r w:rsidRPr="008B43F6">
        <w:rPr>
          <w:rFonts w:cs="PresidenciaFina"/>
        </w:rPr>
        <w:t xml:space="preserve">.  </w:t>
      </w:r>
    </w:p>
    <w:p w:rsidR="00057253" w:rsidRPr="008B43F6" w:rsidRDefault="00057253" w:rsidP="00C12621">
      <w:pPr>
        <w:autoSpaceDE w:val="0"/>
        <w:autoSpaceDN w:val="0"/>
        <w:adjustRightInd w:val="0"/>
        <w:spacing w:after="0"/>
        <w:ind w:left="360"/>
        <w:jc w:val="both"/>
        <w:rPr>
          <w:rFonts w:cs="PresidenciaFina"/>
        </w:rPr>
      </w:pPr>
    </w:p>
    <w:p w:rsidR="007E08B1" w:rsidRPr="008B43F6" w:rsidRDefault="000F34E8" w:rsidP="00C12621">
      <w:pPr>
        <w:autoSpaceDE w:val="0"/>
        <w:autoSpaceDN w:val="0"/>
        <w:adjustRightInd w:val="0"/>
        <w:spacing w:after="0"/>
        <w:ind w:left="360"/>
        <w:jc w:val="both"/>
        <w:rPr>
          <w:rFonts w:cs="PresidenciaFina"/>
        </w:rPr>
      </w:pPr>
      <w:r w:rsidRPr="008B43F6">
        <w:rPr>
          <w:rFonts w:cs="PresidenciaFina"/>
        </w:rPr>
        <w:t>Actualmente, las</w:t>
      </w:r>
      <w:r w:rsidR="00A96613" w:rsidRPr="008B43F6">
        <w:rPr>
          <w:rFonts w:cs="PresidenciaFina"/>
        </w:rPr>
        <w:t xml:space="preserve"> enfermedades no transmisibles y lesiones</w:t>
      </w:r>
      <w:r w:rsidRPr="008B43F6">
        <w:rPr>
          <w:rFonts w:cs="PresidenciaFina"/>
        </w:rPr>
        <w:t xml:space="preserve"> </w:t>
      </w:r>
      <w:r w:rsidR="00A96613" w:rsidRPr="008B43F6">
        <w:rPr>
          <w:rFonts w:cs="PresidenciaFina"/>
        </w:rPr>
        <w:t xml:space="preserve"> concentran más del 85% de las causas de muerte en el país. </w:t>
      </w:r>
      <w:r w:rsidRPr="008B43F6">
        <w:rPr>
          <w:rFonts w:cs="PresidenciaFina"/>
        </w:rPr>
        <w:t>Las principales causas de muerte en adultos mexicanos son enfermedades del corazón, diabetes mellitus y tumores malignos.</w:t>
      </w:r>
      <w:r w:rsidR="007E08B1" w:rsidRPr="008B43F6">
        <w:rPr>
          <w:rFonts w:cs="PresidenciaFina"/>
        </w:rPr>
        <w:t xml:space="preserve"> Por otra parte, en el listado de las diez principales causas de mortalidad de menores de cinco años en México, se encuentran las defunciones provocadas por enfermedades diarreicas agudas, infecciones respiratorias agudas y desnutrición</w:t>
      </w:r>
      <w:r w:rsidR="00057253" w:rsidRPr="008B43F6">
        <w:rPr>
          <w:rFonts w:cs="PresidenciaFina"/>
        </w:rPr>
        <w:t xml:space="preserve"> </w:t>
      </w:r>
      <w:r w:rsidR="00057253" w:rsidRPr="008B43F6">
        <w:rPr>
          <w:rFonts w:cs="PresidenciaFina"/>
        </w:rPr>
        <w:fldChar w:fldCharType="begin"/>
      </w:r>
      <w:r w:rsidR="00057253" w:rsidRPr="008B43F6">
        <w:rPr>
          <w:rFonts w:cs="PresidenciaFina"/>
        </w:rPr>
        <w:instrText xml:space="preserve"> ADDIN EN.CITE &lt;EndNote&gt;&lt;Cite&gt;&lt;Year&gt;2012&lt;/Year&gt;&lt;RecNum&gt;90&lt;/RecNum&gt;&lt;DisplayText&gt;[5]&lt;/DisplayText&gt;&lt;record&gt;&lt;rec-number&gt;90&lt;/rec-number&gt;&lt;foreign-keys&gt;&lt;key app="EN" db-id="w0w9edzzlxxfdgesvf359ft8wzxverspwaav"&gt;90&lt;/key&gt;&lt;/foreign-keys&gt;&lt;ref-type name="Report"&gt;27&lt;/ref-type&gt;&lt;contributors&gt;&lt;/contributors&gt;&lt;titles&gt;&lt;title&gt;La Salud en México: 2206/2012&lt;/title&gt;&lt;/titles&gt;&lt;dates&gt;&lt;year&gt;2012&lt;/year&gt;&lt;/dates&gt;&lt;publisher&gt;Fundación Mexicana para la Salud &lt;/publisher&gt;&lt;urls&gt;&lt;/urls&gt;&lt;/record&gt;&lt;/Cite&gt;&lt;/EndNote&gt;</w:instrText>
      </w:r>
      <w:r w:rsidR="00057253" w:rsidRPr="008B43F6">
        <w:rPr>
          <w:rFonts w:cs="PresidenciaFina"/>
        </w:rPr>
        <w:fldChar w:fldCharType="separate"/>
      </w:r>
      <w:r w:rsidR="00057253" w:rsidRPr="008B43F6">
        <w:rPr>
          <w:rFonts w:cs="PresidenciaFina"/>
        </w:rPr>
        <w:t>[</w:t>
      </w:r>
      <w:hyperlink w:anchor="_ENREF_5" w:tooltip=", 2012 #90" w:history="1">
        <w:r w:rsidR="00251C87" w:rsidRPr="008B43F6">
          <w:rPr>
            <w:rFonts w:cs="PresidenciaFina"/>
          </w:rPr>
          <w:t>5</w:t>
        </w:r>
      </w:hyperlink>
      <w:r w:rsidR="00057253" w:rsidRPr="008B43F6">
        <w:rPr>
          <w:rFonts w:cs="PresidenciaFina"/>
        </w:rPr>
        <w:t>]</w:t>
      </w:r>
      <w:r w:rsidR="00057253" w:rsidRPr="008B43F6">
        <w:rPr>
          <w:rFonts w:cs="PresidenciaFina"/>
        </w:rPr>
        <w:fldChar w:fldCharType="end"/>
      </w:r>
      <w:r w:rsidR="00057253" w:rsidRPr="008B43F6">
        <w:rPr>
          <w:rFonts w:cs="PresidenciaFina"/>
        </w:rPr>
        <w:t xml:space="preserve">.  </w:t>
      </w:r>
      <w:r w:rsidR="007E08B1" w:rsidRPr="008B43F6">
        <w:rPr>
          <w:rFonts w:cs="PresidenciaFina"/>
        </w:rPr>
        <w:t xml:space="preserve"> </w:t>
      </w:r>
    </w:p>
    <w:p w:rsidR="00027D3B" w:rsidRPr="008B43F6" w:rsidRDefault="00027D3B" w:rsidP="00C12621">
      <w:pPr>
        <w:autoSpaceDE w:val="0"/>
        <w:autoSpaceDN w:val="0"/>
        <w:adjustRightInd w:val="0"/>
        <w:spacing w:after="0"/>
        <w:ind w:left="360"/>
        <w:jc w:val="both"/>
        <w:rPr>
          <w:rFonts w:cs="PresidenciaFina"/>
        </w:rPr>
      </w:pPr>
    </w:p>
    <w:p w:rsidR="00803DF4" w:rsidRPr="008B43F6" w:rsidRDefault="000F34E8" w:rsidP="00C12621">
      <w:pPr>
        <w:autoSpaceDE w:val="0"/>
        <w:autoSpaceDN w:val="0"/>
        <w:adjustRightInd w:val="0"/>
        <w:spacing w:after="0"/>
        <w:ind w:left="360"/>
        <w:jc w:val="both"/>
        <w:rPr>
          <w:rFonts w:cs="PresidenciaFina"/>
        </w:rPr>
      </w:pPr>
      <w:r w:rsidRPr="008B43F6">
        <w:rPr>
          <w:rFonts w:cs="PresidenciaFina"/>
        </w:rPr>
        <w:t>Aunque los indicadores de salud de la población han mejorado, m</w:t>
      </w:r>
      <w:r w:rsidR="00803DF4" w:rsidRPr="008B43F6">
        <w:rPr>
          <w:rFonts w:cs="PresidenciaFina"/>
        </w:rPr>
        <w:t>uchos grupos poblacionales persisten por debajo de la línea de la p</w:t>
      </w:r>
      <w:r w:rsidR="00A96613" w:rsidRPr="008B43F6">
        <w:rPr>
          <w:rFonts w:cs="PresidenciaFina"/>
        </w:rPr>
        <w:t xml:space="preserve">obreza extrema y se encuentran  </w:t>
      </w:r>
      <w:r w:rsidR="00803DF4" w:rsidRPr="008B43F6">
        <w:rPr>
          <w:rFonts w:cs="PresidenciaFina"/>
        </w:rPr>
        <w:t>todavía frente a riesgos de salud ante la falta de op</w:t>
      </w:r>
      <w:r w:rsidR="00A96613" w:rsidRPr="008B43F6">
        <w:rPr>
          <w:rFonts w:cs="PresidenciaFina"/>
        </w:rPr>
        <w:t xml:space="preserve">ortunidades y de servicios que  </w:t>
      </w:r>
      <w:r w:rsidR="00803DF4" w:rsidRPr="008B43F6">
        <w:rPr>
          <w:rFonts w:cs="PresidenciaFina"/>
        </w:rPr>
        <w:t>requieren. Los indicadores nacionales escond</w:t>
      </w:r>
      <w:r w:rsidR="00A96613" w:rsidRPr="008B43F6">
        <w:rPr>
          <w:rFonts w:cs="PresidenciaFina"/>
        </w:rPr>
        <w:t xml:space="preserve">en todavía grandes inequidades  </w:t>
      </w:r>
      <w:r w:rsidR="00803DF4" w:rsidRPr="008B43F6">
        <w:rPr>
          <w:rFonts w:cs="PresidenciaFina"/>
        </w:rPr>
        <w:t>en el acceso a los servicios de salud y en su fin</w:t>
      </w:r>
      <w:r w:rsidR="00A96613" w:rsidRPr="008B43F6">
        <w:rPr>
          <w:rFonts w:cs="PresidenciaFina"/>
        </w:rPr>
        <w:t xml:space="preserve">anciamiento, lo que redunda en  </w:t>
      </w:r>
      <w:r w:rsidR="00803DF4" w:rsidRPr="008B43F6">
        <w:rPr>
          <w:rFonts w:cs="PresidenciaFina"/>
        </w:rPr>
        <w:t>marcadas diferencias en el nivel de salud entre</w:t>
      </w:r>
      <w:r w:rsidR="00A96613" w:rsidRPr="008B43F6">
        <w:rPr>
          <w:rFonts w:cs="PresidenciaFina"/>
        </w:rPr>
        <w:t xml:space="preserve"> estados, localidades y grupos  </w:t>
      </w:r>
      <w:r w:rsidR="00803DF4" w:rsidRPr="008B43F6">
        <w:rPr>
          <w:rFonts w:cs="PresidenciaFina"/>
        </w:rPr>
        <w:t>poblacionales</w:t>
      </w:r>
      <w:r w:rsidR="00A96613" w:rsidRPr="008B43F6">
        <w:rPr>
          <w:rFonts w:cs="PresidenciaFina"/>
        </w:rPr>
        <w:t xml:space="preserve"> </w:t>
      </w:r>
      <w:r w:rsidR="00A96613" w:rsidRPr="008B43F6">
        <w:rPr>
          <w:rFonts w:cs="PresidenciaFina"/>
        </w:rPr>
        <w:fldChar w:fldCharType="begin"/>
      </w:r>
      <w:r w:rsidR="00A96613" w:rsidRPr="008B43F6">
        <w:rPr>
          <w:rFonts w:cs="PresidenciaFina"/>
        </w:rPr>
        <w:instrText xml:space="preserve"> ADDIN EN.CITE &lt;EndNote&gt;&lt;Cite&gt;&lt;Year&gt;2012&lt;/Year&gt;&lt;RecNum&gt;90&lt;/RecNum&gt;&lt;DisplayText&gt;[5]&lt;/DisplayText&gt;&lt;record&gt;&lt;rec-number&gt;90&lt;/rec-number&gt;&lt;foreign-keys&gt;&lt;key app="EN" db-id="w0w9edzzlxxfdgesvf359ft8wzxverspwaav"&gt;90&lt;/key&gt;&lt;/foreign-keys&gt;&lt;ref-type name="Report"&gt;27&lt;/ref-type&gt;&lt;contributors&gt;&lt;/contributors&gt;&lt;titles&gt;&lt;title&gt;La Salud en México: 2206/2012&lt;/title&gt;&lt;/titles&gt;&lt;dates&gt;&lt;year&gt;2012&lt;/year&gt;&lt;/dates&gt;&lt;publisher&gt;Fundación Mexicana para la Salud &lt;/publisher&gt;&lt;urls&gt;&lt;/urls&gt;&lt;/record&gt;&lt;/Cite&gt;&lt;/EndNote&gt;</w:instrText>
      </w:r>
      <w:r w:rsidR="00A96613" w:rsidRPr="008B43F6">
        <w:rPr>
          <w:rFonts w:cs="PresidenciaFina"/>
        </w:rPr>
        <w:fldChar w:fldCharType="separate"/>
      </w:r>
      <w:r w:rsidR="00A96613" w:rsidRPr="008B43F6">
        <w:rPr>
          <w:rFonts w:cs="PresidenciaFina"/>
        </w:rPr>
        <w:t>[</w:t>
      </w:r>
      <w:hyperlink w:anchor="_ENREF_5" w:tooltip=", 2012 #90" w:history="1">
        <w:r w:rsidR="00251C87" w:rsidRPr="008B43F6">
          <w:rPr>
            <w:rFonts w:cs="PresidenciaFina"/>
          </w:rPr>
          <w:t>5</w:t>
        </w:r>
      </w:hyperlink>
      <w:r w:rsidR="00A96613" w:rsidRPr="008B43F6">
        <w:rPr>
          <w:rFonts w:cs="PresidenciaFina"/>
        </w:rPr>
        <w:t>]</w:t>
      </w:r>
      <w:r w:rsidR="00A96613" w:rsidRPr="008B43F6">
        <w:rPr>
          <w:rFonts w:cs="PresidenciaFina"/>
        </w:rPr>
        <w:fldChar w:fldCharType="end"/>
      </w:r>
      <w:r w:rsidR="00A96613" w:rsidRPr="008B43F6">
        <w:rPr>
          <w:rFonts w:cs="PresidenciaFina"/>
        </w:rPr>
        <w:t>.</w:t>
      </w:r>
    </w:p>
    <w:p w:rsidR="00E7203F" w:rsidRPr="008B43F6" w:rsidRDefault="00E7203F" w:rsidP="00C12621">
      <w:pPr>
        <w:autoSpaceDE w:val="0"/>
        <w:autoSpaceDN w:val="0"/>
        <w:adjustRightInd w:val="0"/>
        <w:spacing w:after="0"/>
        <w:jc w:val="both"/>
        <w:rPr>
          <w:rFonts w:cs="PresidenciaFina"/>
        </w:rPr>
      </w:pPr>
    </w:p>
    <w:p w:rsidR="007047A4" w:rsidRPr="008B43F6" w:rsidRDefault="00A72F04" w:rsidP="00C12621">
      <w:pPr>
        <w:pStyle w:val="Ttulo2"/>
        <w:jc w:val="both"/>
        <w:rPr>
          <w:rFonts w:asciiTheme="minorHAnsi" w:hAnsiTheme="minorHAnsi"/>
        </w:rPr>
      </w:pPr>
      <w:bookmarkStart w:id="29" w:name="_Toc350874963"/>
      <w:bookmarkStart w:id="30" w:name="_Toc351397575"/>
      <w:r w:rsidRPr="008B43F6">
        <w:rPr>
          <w:rFonts w:asciiTheme="minorHAnsi" w:hAnsiTheme="minorHAnsi"/>
        </w:rPr>
        <w:t xml:space="preserve">2.5 </w:t>
      </w:r>
      <w:r w:rsidR="007047A4" w:rsidRPr="008B43F6">
        <w:rPr>
          <w:rFonts w:asciiTheme="minorHAnsi" w:hAnsiTheme="minorHAnsi"/>
        </w:rPr>
        <w:t>Economía</w:t>
      </w:r>
      <w:bookmarkEnd w:id="29"/>
      <w:bookmarkEnd w:id="30"/>
    </w:p>
    <w:p w:rsidR="007047A4" w:rsidRPr="008B43F6" w:rsidRDefault="007047A4" w:rsidP="00C12621">
      <w:pPr>
        <w:autoSpaceDE w:val="0"/>
        <w:autoSpaceDN w:val="0"/>
        <w:adjustRightInd w:val="0"/>
        <w:spacing w:after="0"/>
        <w:ind w:left="360"/>
        <w:jc w:val="both"/>
        <w:rPr>
          <w:rFonts w:cs="PresidenciaFina"/>
        </w:rPr>
      </w:pPr>
    </w:p>
    <w:p w:rsidR="00AB693B" w:rsidRPr="008B43F6" w:rsidRDefault="003113E5" w:rsidP="00C12621">
      <w:pPr>
        <w:autoSpaceDE w:val="0"/>
        <w:autoSpaceDN w:val="0"/>
        <w:adjustRightInd w:val="0"/>
        <w:spacing w:after="0"/>
        <w:ind w:left="360"/>
        <w:jc w:val="both"/>
        <w:rPr>
          <w:rFonts w:cs="PresidenciaFina"/>
        </w:rPr>
      </w:pPr>
      <w:bookmarkStart w:id="31" w:name="_Toc349275382"/>
      <w:bookmarkStart w:id="32" w:name="_Toc350212865"/>
      <w:r w:rsidRPr="008B43F6">
        <w:rPr>
          <w:rFonts w:cs="PresidenciaFina"/>
        </w:rPr>
        <w:t xml:space="preserve">El </w:t>
      </w:r>
      <w:r w:rsidR="00932F80" w:rsidRPr="008B43F6">
        <w:rPr>
          <w:rFonts w:cs="PresidenciaFina"/>
        </w:rPr>
        <w:t xml:space="preserve">62.1% del </w:t>
      </w:r>
      <w:r w:rsidR="00A5109B" w:rsidRPr="008B43F6">
        <w:rPr>
          <w:rFonts w:cs="PresidenciaFina"/>
        </w:rPr>
        <w:t xml:space="preserve">Producto Interno Bruto de México  </w:t>
      </w:r>
      <w:r w:rsidR="00932F80" w:rsidRPr="008B43F6">
        <w:rPr>
          <w:rFonts w:cs="PresidenciaFina"/>
        </w:rPr>
        <w:t>viene del sector servicios, mientras que la industria representa el 34.2% y la a</w:t>
      </w:r>
      <w:r w:rsidRPr="008B43F6">
        <w:rPr>
          <w:rFonts w:cs="PresidenciaFina"/>
        </w:rPr>
        <w:t xml:space="preserve">gricultura </w:t>
      </w:r>
      <w:r w:rsidR="00932F80" w:rsidRPr="008B43F6">
        <w:rPr>
          <w:rFonts w:cs="PresidenciaFina"/>
        </w:rPr>
        <w:t xml:space="preserve">el </w:t>
      </w:r>
      <w:r w:rsidRPr="008B43F6">
        <w:rPr>
          <w:rFonts w:cs="PresidenciaFina"/>
        </w:rPr>
        <w:t>3.7</w:t>
      </w:r>
      <w:r w:rsidR="00083747" w:rsidRPr="008B43F6">
        <w:rPr>
          <w:rFonts w:cs="PresidenciaFina"/>
        </w:rPr>
        <w:t xml:space="preserve"> </w:t>
      </w:r>
      <w:r w:rsidRPr="008B43F6">
        <w:rPr>
          <w:rFonts w:cs="PresidenciaFina"/>
        </w:rPr>
        <w:fldChar w:fldCharType="begin"/>
      </w:r>
      <w:r w:rsidRPr="008B43F6">
        <w:rPr>
          <w:rFonts w:cs="PresidenciaFina"/>
        </w:rPr>
        <w:instrText xml:space="preserve"> ADDIN EN.CITE &lt;EndNote&gt;&lt;Cite&gt;&lt;Author&gt;CIA&lt;/Author&gt;&lt;Year&gt;2012&lt;/Year&gt;&lt;RecNum&gt;104&lt;/RecNum&gt;&lt;DisplayText&gt;[12]&lt;/DisplayText&gt;&lt;record&gt;&lt;rec-number&gt;104&lt;/rec-number&gt;&lt;foreign-keys&gt;&lt;key app="EN" db-id="w0w9edzzlxxfdgesvf359ft8wzxverspwaav"&gt;104&lt;/key&gt;&lt;/foreign-keys&gt;&lt;ref-type name="Web Page"&gt;12&lt;/ref-type&gt;&lt;contributors&gt;&lt;authors&gt;&lt;author&gt;CIA&lt;/author&gt;&lt;/authors&gt;&lt;/contributors&gt;&lt;titles&gt;&lt;title&gt;CIA world factbook: Mexico&lt;/title&gt;&lt;/titles&gt;&lt;dates&gt;&lt;year&gt;2012&lt;/year&gt;&lt;/dates&gt;&lt;urls&gt;&lt;related-urls&gt;&lt;url&gt;https://www.cia.gov/library/publications/the-world-factbook/geos/mx.html&lt;/url&gt;&lt;/related-urls&gt;&lt;/urls&gt;&lt;/record&gt;&lt;/Cite&gt;&lt;/EndNote&gt;</w:instrText>
      </w:r>
      <w:r w:rsidRPr="008B43F6">
        <w:rPr>
          <w:rFonts w:cs="PresidenciaFina"/>
        </w:rPr>
        <w:fldChar w:fldCharType="separate"/>
      </w:r>
      <w:r w:rsidRPr="008B43F6">
        <w:rPr>
          <w:rFonts w:cs="PresidenciaFina"/>
        </w:rPr>
        <w:t>[</w:t>
      </w:r>
      <w:hyperlink w:anchor="_ENREF_12" w:tooltip="CIA, 2012 #104" w:history="1">
        <w:r w:rsidR="00251C87" w:rsidRPr="008B43F6">
          <w:rPr>
            <w:rFonts w:cs="PresidenciaFina"/>
          </w:rPr>
          <w:t>12</w:t>
        </w:r>
      </w:hyperlink>
      <w:r w:rsidRPr="008B43F6">
        <w:rPr>
          <w:rFonts w:cs="PresidenciaFina"/>
        </w:rPr>
        <w:t>]</w:t>
      </w:r>
      <w:r w:rsidRPr="008B43F6">
        <w:rPr>
          <w:rFonts w:cs="PresidenciaFina"/>
        </w:rPr>
        <w:fldChar w:fldCharType="end"/>
      </w:r>
      <w:r w:rsidRPr="008B43F6">
        <w:rPr>
          <w:rFonts w:cs="PresidenciaFina"/>
        </w:rPr>
        <w:t>.</w:t>
      </w:r>
    </w:p>
    <w:p w:rsidR="003113E5" w:rsidRPr="008B43F6" w:rsidRDefault="003113E5" w:rsidP="00C12621">
      <w:pPr>
        <w:autoSpaceDE w:val="0"/>
        <w:autoSpaceDN w:val="0"/>
        <w:adjustRightInd w:val="0"/>
        <w:spacing w:after="0"/>
        <w:ind w:left="360"/>
        <w:jc w:val="both"/>
        <w:rPr>
          <w:rFonts w:cs="PresidenciaFina"/>
        </w:rPr>
      </w:pPr>
    </w:p>
    <w:p w:rsidR="005764E6" w:rsidRPr="008B43F6" w:rsidRDefault="005764E6" w:rsidP="00C12621">
      <w:pPr>
        <w:jc w:val="both"/>
        <w:rPr>
          <w:rFonts w:cs="PresidenciaFina"/>
        </w:rPr>
      </w:pPr>
    </w:p>
    <w:p w:rsidR="007047A4" w:rsidRPr="008B43F6" w:rsidRDefault="007047A4" w:rsidP="00C12621">
      <w:pPr>
        <w:pStyle w:val="Ttulo1"/>
        <w:numPr>
          <w:ilvl w:val="0"/>
          <w:numId w:val="18"/>
        </w:numPr>
        <w:jc w:val="both"/>
        <w:rPr>
          <w:rFonts w:asciiTheme="minorHAnsi" w:hAnsiTheme="minorHAnsi"/>
        </w:rPr>
      </w:pPr>
      <w:bookmarkStart w:id="33" w:name="_Toc350874964"/>
      <w:bookmarkStart w:id="34" w:name="_Toc351397576"/>
      <w:r w:rsidRPr="008B43F6">
        <w:rPr>
          <w:rFonts w:asciiTheme="minorHAnsi" w:hAnsiTheme="minorHAnsi"/>
        </w:rPr>
        <w:t>Prioridades de política pública de</w:t>
      </w:r>
      <w:bookmarkEnd w:id="31"/>
      <w:r w:rsidRPr="008B43F6">
        <w:rPr>
          <w:rFonts w:asciiTheme="minorHAnsi" w:hAnsiTheme="minorHAnsi"/>
        </w:rPr>
        <w:t xml:space="preserve"> </w:t>
      </w:r>
      <w:bookmarkEnd w:id="32"/>
      <w:r w:rsidRPr="008B43F6">
        <w:rPr>
          <w:rFonts w:asciiTheme="minorHAnsi" w:hAnsiTheme="minorHAnsi"/>
        </w:rPr>
        <w:t>México</w:t>
      </w:r>
      <w:bookmarkEnd w:id="33"/>
      <w:bookmarkEnd w:id="34"/>
    </w:p>
    <w:p w:rsidR="00932F80" w:rsidRPr="008B43F6" w:rsidRDefault="00932F80" w:rsidP="00C12621">
      <w:pPr>
        <w:jc w:val="both"/>
      </w:pPr>
    </w:p>
    <w:p w:rsidR="007047A4" w:rsidRPr="008B43F6" w:rsidRDefault="007047A4" w:rsidP="00C12621">
      <w:pPr>
        <w:jc w:val="both"/>
      </w:pPr>
      <w:r w:rsidRPr="008B43F6">
        <w:t>Desde una perspectiva de co-beneficios, los efectos positivos del desarrollo de la vivienda se reflejan en varios aspectos de otras áreas de desarrollo, por lo que las políticas de vivienda sustentable aportan al cumplimiento de metas relacionadas a desarrollo económico, cuidado ambiental y salud de la población.</w:t>
      </w:r>
    </w:p>
    <w:p w:rsidR="007047A4" w:rsidRPr="008B43F6" w:rsidRDefault="007047A4" w:rsidP="00C12621">
      <w:pPr>
        <w:pStyle w:val="Ttulo2"/>
        <w:jc w:val="both"/>
        <w:rPr>
          <w:rFonts w:asciiTheme="minorHAnsi" w:hAnsiTheme="minorHAnsi"/>
        </w:rPr>
      </w:pPr>
      <w:bookmarkStart w:id="35" w:name="_Toc350874965"/>
      <w:bookmarkStart w:id="36" w:name="_Toc351397577"/>
      <w:r w:rsidRPr="008B43F6">
        <w:rPr>
          <w:rFonts w:asciiTheme="minorHAnsi" w:hAnsiTheme="minorHAnsi"/>
        </w:rPr>
        <w:t>3.1 Política de Vivienda</w:t>
      </w:r>
      <w:bookmarkEnd w:id="35"/>
      <w:bookmarkEnd w:id="36"/>
    </w:p>
    <w:p w:rsidR="00811AED" w:rsidRPr="008B43F6" w:rsidRDefault="004D1175" w:rsidP="00C12621">
      <w:pPr>
        <w:jc w:val="both"/>
      </w:pPr>
      <w:r w:rsidRPr="008B43F6">
        <w:t>La política pública de vivienda en México ha impulsado</w:t>
      </w:r>
      <w:r w:rsidR="0028162D" w:rsidRPr="008B43F6">
        <w:t xml:space="preserve"> desde hace varios años</w:t>
      </w:r>
      <w:r w:rsidRPr="008B43F6">
        <w:t xml:space="preserve"> un modelo de vivienda sustentable. </w:t>
      </w:r>
      <w:r w:rsidR="00B3427C" w:rsidRPr="008B43F6">
        <w:t xml:space="preserve">Esta </w:t>
      </w:r>
      <w:r w:rsidRPr="008B43F6">
        <w:t xml:space="preserve">política </w:t>
      </w:r>
      <w:r w:rsidR="00B3427C" w:rsidRPr="008B43F6">
        <w:t xml:space="preserve">tiene como precedente </w:t>
      </w:r>
      <w:r w:rsidR="00932F80" w:rsidRPr="008B43F6">
        <w:t xml:space="preserve">fundamental </w:t>
      </w:r>
      <w:r w:rsidR="00B3427C" w:rsidRPr="008B43F6">
        <w:t>el</w:t>
      </w:r>
      <w:r w:rsidRPr="008B43F6">
        <w:t xml:space="preserve"> </w:t>
      </w:r>
      <w:r w:rsidR="007411DD" w:rsidRPr="008B43F6">
        <w:t>p</w:t>
      </w:r>
      <w:r w:rsidRPr="008B43F6">
        <w:t xml:space="preserve">rograma “Hipoteca </w:t>
      </w:r>
      <w:r w:rsidRPr="008B43F6">
        <w:lastRenderedPageBreak/>
        <w:t>Verde” del Instituto Nacional del Fondo para la Vivienda de los Trabajadores (INFONAVIT)</w:t>
      </w:r>
      <w:r w:rsidR="00B3427C" w:rsidRPr="008B43F6">
        <w:t xml:space="preserve"> que</w:t>
      </w:r>
      <w:r w:rsidRPr="008B43F6">
        <w:t xml:space="preserve"> consiste en equipar a la vivienda de un paquete de tecnologías </w:t>
      </w:r>
      <w:r w:rsidR="00811AED" w:rsidRPr="008B43F6">
        <w:t>orientadas a disminuir el consumo de agua y energía.</w:t>
      </w:r>
      <w:r w:rsidRPr="008B43F6">
        <w:t xml:space="preserve"> </w:t>
      </w:r>
      <w:r w:rsidR="00CA0FA2" w:rsidRPr="008B43F6">
        <w:t>Asimismo, el programa</w:t>
      </w:r>
      <w:r w:rsidRPr="008B43F6">
        <w:t xml:space="preserve"> “Est</w:t>
      </w:r>
      <w:r w:rsidR="0028162D" w:rsidRPr="008B43F6">
        <w:t>a</w:t>
      </w:r>
      <w:r w:rsidRPr="008B43F6">
        <w:t xml:space="preserve"> es tu Casa”</w:t>
      </w:r>
      <w:r w:rsidR="00CA0FA2" w:rsidRPr="008B43F6">
        <w:t xml:space="preserve"> </w:t>
      </w:r>
      <w:r w:rsidRPr="008B43F6">
        <w:t>ofrece apoyo a hogares de bajos ingresos que no son candidatos al crédito de Hipoteca Verde para que puedan acceder a vivienda sustentable mediante subsidios f</w:t>
      </w:r>
      <w:r w:rsidR="00CA0FA2" w:rsidRPr="008B43F6">
        <w:t xml:space="preserve">ederales </w:t>
      </w:r>
      <w:r w:rsidR="00CA0FA2" w:rsidRPr="008B43F6">
        <w:fldChar w:fldCharType="begin"/>
      </w:r>
      <w:r w:rsidR="003113E5" w:rsidRPr="008B43F6">
        <w:instrText xml:space="preserve"> ADDIN EN.CITE &lt;EndNote&gt;&lt;Cite&gt;&lt;Author&gt;SEMARNAT&lt;/Author&gt;&lt;Year&gt; 2011&lt;/Year&gt;&lt;RecNum&gt;81&lt;/RecNum&gt;&lt;DisplayText&gt;[13]&lt;/DisplayText&gt;&lt;record&gt;&lt;rec-number&gt;81&lt;/rec-number&gt;&lt;foreign-keys&gt;&lt;key app="EN" db-id="w0w9edzzlxxfdgesvf359ft8wzxverspwaav"&gt;81&lt;/key&gt;&lt;/foreign-keys&gt;&lt;ref-type name="Government Document"&gt;46&lt;/ref-type&gt;&lt;contributors&gt;&lt;authors&gt;&lt;author&gt;SEMARNAT&lt;/author&gt;&lt;author&gt;INFONAVIT&lt;/author&gt;&lt;author&gt;CONAVI&lt;/author&gt;&lt;/authors&gt;&lt;/contributors&gt;&lt;titles&gt;&lt;title&gt;Vivienda Sustentable en México&lt;/title&gt;&lt;/titles&gt;&lt;dates&gt;&lt;year&gt; 2011&lt;/year&gt;&lt;/dates&gt;&lt;pub-location&gt;México DF&lt;/pub-location&gt;&lt;urls&gt;&lt;/urls&gt;&lt;/record&gt;&lt;/Cite&gt;&lt;/EndNote&gt;</w:instrText>
      </w:r>
      <w:r w:rsidR="00CA0FA2" w:rsidRPr="008B43F6">
        <w:fldChar w:fldCharType="separate"/>
      </w:r>
      <w:r w:rsidR="003113E5" w:rsidRPr="008B43F6">
        <w:rPr>
          <w:noProof/>
        </w:rPr>
        <w:t>[</w:t>
      </w:r>
      <w:hyperlink w:anchor="_ENREF_13" w:tooltip="SEMARNAT,  2011 #81" w:history="1">
        <w:r w:rsidR="00251C87" w:rsidRPr="008B43F6">
          <w:rPr>
            <w:noProof/>
          </w:rPr>
          <w:t>13</w:t>
        </w:r>
      </w:hyperlink>
      <w:r w:rsidR="003113E5" w:rsidRPr="008B43F6">
        <w:rPr>
          <w:noProof/>
        </w:rPr>
        <w:t>]</w:t>
      </w:r>
      <w:r w:rsidR="00CA0FA2" w:rsidRPr="008B43F6">
        <w:fldChar w:fldCharType="end"/>
      </w:r>
      <w:r w:rsidR="00CA0FA2" w:rsidRPr="008B43F6">
        <w:t>.</w:t>
      </w:r>
    </w:p>
    <w:p w:rsidR="00811AED" w:rsidRPr="008B43F6" w:rsidRDefault="00811AED" w:rsidP="00C12621">
      <w:pPr>
        <w:jc w:val="both"/>
      </w:pPr>
      <w:r w:rsidRPr="008B43F6">
        <w:t xml:space="preserve">Los objetivos principales de ambos programas </w:t>
      </w:r>
      <w:r w:rsidR="00932F80" w:rsidRPr="008B43F6">
        <w:t xml:space="preserve">han sido el </w:t>
      </w:r>
      <w:r w:rsidR="0028162D" w:rsidRPr="008B43F6">
        <w:t xml:space="preserve">mitigar los impactos al medio ambiente </w:t>
      </w:r>
      <w:r w:rsidRPr="008B43F6">
        <w:t xml:space="preserve">y apoyar a la economía familiar al </w:t>
      </w:r>
      <w:r w:rsidR="00DD1317" w:rsidRPr="008B43F6">
        <w:t>disminuir</w:t>
      </w:r>
      <w:r w:rsidRPr="008B43F6">
        <w:t xml:space="preserve"> </w:t>
      </w:r>
      <w:r w:rsidR="000D415E" w:rsidRPr="008B43F6">
        <w:t>los</w:t>
      </w:r>
      <w:r w:rsidRPr="008B43F6">
        <w:t xml:space="preserve"> gastos </w:t>
      </w:r>
      <w:r w:rsidR="000D415E" w:rsidRPr="008B43F6">
        <w:t xml:space="preserve">domésticos </w:t>
      </w:r>
      <w:r w:rsidRPr="008B43F6">
        <w:t>en agua, electricidad y gas. Hasta 2011</w:t>
      </w:r>
      <w:r w:rsidR="00932F80" w:rsidRPr="008B43F6">
        <w:t>,</w:t>
      </w:r>
      <w:r w:rsidRPr="008B43F6">
        <w:t xml:space="preserve"> en México se habían construido casi 600,000 viviendas sustentables, cada una de ellas logrando mitigar en promedio entre 1 y 1.5 toneladas de CO</w:t>
      </w:r>
      <w:r w:rsidRPr="008B43F6">
        <w:rPr>
          <w:vertAlign w:val="subscript"/>
        </w:rPr>
        <w:t xml:space="preserve">2e </w:t>
      </w:r>
      <w:r w:rsidRPr="008B43F6">
        <w:t>y se otorgaron casi 250,000 subsidios dentro del programa “Está es tu Casa”</w:t>
      </w:r>
      <w:r w:rsidR="000D415E" w:rsidRPr="008B43F6">
        <w:t xml:space="preserve"> </w:t>
      </w:r>
      <w:r w:rsidR="000D415E" w:rsidRPr="008B43F6">
        <w:fldChar w:fldCharType="begin"/>
      </w:r>
      <w:r w:rsidR="003113E5" w:rsidRPr="008B43F6">
        <w:instrText xml:space="preserve"> ADDIN EN.CITE &lt;EndNote&gt;&lt;Cite&gt;&lt;Author&gt;SEMARNAT&lt;/Author&gt;&lt;Year&gt; 2011&lt;/Year&gt;&lt;RecNum&gt;81&lt;/RecNum&gt;&lt;DisplayText&gt;[13]&lt;/DisplayText&gt;&lt;record&gt;&lt;rec-number&gt;81&lt;/rec-number&gt;&lt;foreign-keys&gt;&lt;key app="EN" db-id="w0w9edzzlxxfdgesvf359ft8wzxverspwaav"&gt;81&lt;/key&gt;&lt;/foreign-keys&gt;&lt;ref-type name="Government Document"&gt;46&lt;/ref-type&gt;&lt;contributors&gt;&lt;authors&gt;&lt;author&gt;SEMARNAT&lt;/author&gt;&lt;author&gt;INFONAVIT&lt;/author&gt;&lt;author&gt;CONAVI&lt;/author&gt;&lt;/authors&gt;&lt;/contributors&gt;&lt;titles&gt;&lt;title&gt;Vivienda Sustentable en México&lt;/title&gt;&lt;/titles&gt;&lt;dates&gt;&lt;year&gt; 2011&lt;/year&gt;&lt;/dates&gt;&lt;pub-location&gt;México DF&lt;/pub-location&gt;&lt;urls&gt;&lt;/urls&gt;&lt;/record&gt;&lt;/Cite&gt;&lt;/EndNote&gt;</w:instrText>
      </w:r>
      <w:r w:rsidR="000D415E" w:rsidRPr="008B43F6">
        <w:fldChar w:fldCharType="separate"/>
      </w:r>
      <w:r w:rsidR="003113E5" w:rsidRPr="008B43F6">
        <w:rPr>
          <w:noProof/>
        </w:rPr>
        <w:t>[</w:t>
      </w:r>
      <w:hyperlink w:anchor="_ENREF_13" w:tooltip="SEMARNAT,  2011 #81" w:history="1">
        <w:r w:rsidR="00251C87" w:rsidRPr="008B43F6">
          <w:rPr>
            <w:noProof/>
          </w:rPr>
          <w:t>13</w:t>
        </w:r>
      </w:hyperlink>
      <w:r w:rsidR="003113E5" w:rsidRPr="008B43F6">
        <w:rPr>
          <w:noProof/>
        </w:rPr>
        <w:t>]</w:t>
      </w:r>
      <w:r w:rsidR="000D415E" w:rsidRPr="008B43F6">
        <w:fldChar w:fldCharType="end"/>
      </w:r>
      <w:r w:rsidR="000D415E" w:rsidRPr="008B43F6">
        <w:t>.</w:t>
      </w:r>
    </w:p>
    <w:p w:rsidR="00811AED" w:rsidRPr="008B43F6" w:rsidRDefault="00B3427C" w:rsidP="00C12621">
      <w:pPr>
        <w:jc w:val="both"/>
      </w:pPr>
      <w:r w:rsidRPr="008B43F6">
        <w:t xml:space="preserve"> </w:t>
      </w:r>
      <w:r w:rsidR="00932F80" w:rsidRPr="008B43F6">
        <w:t xml:space="preserve">La nueva administración federal que </w:t>
      </w:r>
      <w:r w:rsidR="00B365D3" w:rsidRPr="008B43F6">
        <w:t xml:space="preserve"> </w:t>
      </w:r>
      <w:r w:rsidR="00932F80" w:rsidRPr="008B43F6">
        <w:t xml:space="preserve">inició el 1º de Diciembre de 2012 </w:t>
      </w:r>
      <w:r w:rsidR="00B365D3" w:rsidRPr="008B43F6">
        <w:t xml:space="preserve">continúa con </w:t>
      </w:r>
      <w:r w:rsidR="00A142FE" w:rsidRPr="008B43F6">
        <w:t>una</w:t>
      </w:r>
      <w:r w:rsidR="00B365D3" w:rsidRPr="008B43F6">
        <w:t xml:space="preserve"> visión de vivienda </w:t>
      </w:r>
      <w:r w:rsidRPr="008B43F6">
        <w:t>sustentable</w:t>
      </w:r>
      <w:r w:rsidR="00932F80" w:rsidRPr="008B43F6">
        <w:t>, lo cual se refleja en</w:t>
      </w:r>
      <w:r w:rsidR="00B365D3" w:rsidRPr="008B43F6">
        <w:t xml:space="preserve"> </w:t>
      </w:r>
      <w:r w:rsidR="008C338F" w:rsidRPr="008B43F6">
        <w:t>la</w:t>
      </w:r>
      <w:r w:rsidR="00B365D3" w:rsidRPr="008B43F6">
        <w:t xml:space="preserve"> Política Nacional de Vivienda para </w:t>
      </w:r>
      <w:r w:rsidR="00911F18" w:rsidRPr="008B43F6">
        <w:t xml:space="preserve">los próximos seis años </w:t>
      </w:r>
      <w:r w:rsidR="00932F80" w:rsidRPr="008B43F6">
        <w:t xml:space="preserve">y que </w:t>
      </w:r>
      <w:r w:rsidR="008C338F" w:rsidRPr="008B43F6">
        <w:t>se divide en cuatro ejes</w:t>
      </w:r>
      <w:r w:rsidR="000D415E" w:rsidRPr="008B43F6">
        <w:rPr>
          <w:rStyle w:val="Refdenotaalpie"/>
        </w:rPr>
        <w:t xml:space="preserve"> </w:t>
      </w:r>
      <w:r w:rsidR="000D415E" w:rsidRPr="008B43F6">
        <w:rPr>
          <w:rStyle w:val="Refdenotaalpie"/>
        </w:rPr>
        <w:fldChar w:fldCharType="begin"/>
      </w:r>
      <w:r w:rsidR="003113E5" w:rsidRPr="008B43F6">
        <w:instrText xml:space="preserve"> ADDIN EN.CITE &lt;EndNote&gt;&lt;Cite&gt;&lt;Year&gt;2013&lt;/Year&gt;&lt;RecNum&gt;82&lt;/RecNum&gt;&lt;DisplayText&gt;[14]&lt;/DisplayText&gt;&lt;record&gt;&lt;rec-number&gt;82&lt;/rec-number&gt;&lt;foreign-keys&gt;&lt;key app="EN" db-id="w0w9edzzlxxfdgesvf359ft8wzxverspwaav"&gt;82&lt;/key&gt;&lt;/foreign-keys&gt;&lt;ref-type name="Government Document"&gt;46&lt;/ref-type&gt;&lt;contributors&gt;&lt;secondary-authors&gt;&lt;author&gt;Presidencia de la República&lt;/author&gt;&lt;/secondary-authors&gt;&lt;/contributors&gt;&lt;titles&gt;&lt;title&gt;Política Nacional de Vivienda&lt;/title&gt;&lt;/titles&gt;&lt;dates&gt;&lt;year&gt;2013&lt;/year&gt;&lt;/dates&gt;&lt;urls&gt;&lt;related-urls&gt;&lt;url&gt;http://www.presidencia.gob.mx/articulos-prensa/politica-nacional-de-vivienda/&lt;/url&gt;&lt;/related-urls&gt;&lt;/urls&gt;&lt;/record&gt;&lt;/Cite&gt;&lt;/EndNote&gt;</w:instrText>
      </w:r>
      <w:r w:rsidR="000D415E" w:rsidRPr="008B43F6">
        <w:rPr>
          <w:rStyle w:val="Refdenotaalpie"/>
        </w:rPr>
        <w:fldChar w:fldCharType="separate"/>
      </w:r>
      <w:r w:rsidR="003113E5" w:rsidRPr="008B43F6">
        <w:rPr>
          <w:noProof/>
        </w:rPr>
        <w:t>[</w:t>
      </w:r>
      <w:hyperlink w:anchor="_ENREF_14" w:tooltip=", 2013 #82" w:history="1">
        <w:r w:rsidR="00251C87" w:rsidRPr="008B43F6">
          <w:rPr>
            <w:noProof/>
          </w:rPr>
          <w:t>14</w:t>
        </w:r>
      </w:hyperlink>
      <w:r w:rsidR="003113E5" w:rsidRPr="008B43F6">
        <w:rPr>
          <w:noProof/>
        </w:rPr>
        <w:t>]</w:t>
      </w:r>
      <w:r w:rsidR="000D415E" w:rsidRPr="008B43F6">
        <w:rPr>
          <w:rStyle w:val="Refdenotaalpie"/>
        </w:rPr>
        <w:fldChar w:fldCharType="end"/>
      </w:r>
      <w:r w:rsidR="00911F18" w:rsidRPr="008B43F6">
        <w:t>:</w:t>
      </w:r>
    </w:p>
    <w:p w:rsidR="00911F18" w:rsidRPr="008B43F6" w:rsidRDefault="00911F18" w:rsidP="00C12621">
      <w:pPr>
        <w:pStyle w:val="Prrafodelista"/>
        <w:numPr>
          <w:ilvl w:val="0"/>
          <w:numId w:val="2"/>
        </w:numPr>
        <w:jc w:val="both"/>
      </w:pPr>
      <w:r w:rsidRPr="008B43F6">
        <w:rPr>
          <w:b/>
        </w:rPr>
        <w:t>Vivienda Digna</w:t>
      </w:r>
      <w:r w:rsidR="00A142FE" w:rsidRPr="008B43F6">
        <w:t xml:space="preserve">. </w:t>
      </w:r>
      <w:r w:rsidR="008C338F" w:rsidRPr="008B43F6">
        <w:t>Se b</w:t>
      </w:r>
      <w:r w:rsidRPr="008B43F6">
        <w:t>usca impulsar mayores acciones de mejoramiento y ampliación de la vivienda tanto en el área urbana como en la rural, mediante créditos y subsidios.</w:t>
      </w:r>
    </w:p>
    <w:p w:rsidR="00911F18" w:rsidRPr="008B43F6" w:rsidRDefault="00911F18" w:rsidP="00C12621">
      <w:pPr>
        <w:pStyle w:val="Prrafodelista"/>
        <w:numPr>
          <w:ilvl w:val="0"/>
          <w:numId w:val="2"/>
        </w:numPr>
        <w:jc w:val="both"/>
      </w:pPr>
      <w:r w:rsidRPr="008B43F6">
        <w:rPr>
          <w:b/>
        </w:rPr>
        <w:t>Reducir el rezago de vivienda</w:t>
      </w:r>
      <w:r w:rsidR="00A142FE" w:rsidRPr="008B43F6">
        <w:t>. Se c</w:t>
      </w:r>
      <w:r w:rsidRPr="008B43F6">
        <w:t xml:space="preserve">ontempla reducir el rezago </w:t>
      </w:r>
      <w:r w:rsidR="00A142FE" w:rsidRPr="008B43F6">
        <w:t xml:space="preserve">actual </w:t>
      </w:r>
      <w:r w:rsidRPr="008B43F6">
        <w:t>estimado de 9 millones de casas, mediante el impulso de más de un millón de acciones de lotificación, construcción</w:t>
      </w:r>
      <w:r w:rsidR="00A142FE" w:rsidRPr="008B43F6">
        <w:t>,</w:t>
      </w:r>
      <w:r w:rsidRPr="008B43F6">
        <w:t xml:space="preserve"> ampliación y mejora de hogares. De éste millón de acciones, más de 500 mil corresponderán a nuevas construcciones.</w:t>
      </w:r>
    </w:p>
    <w:p w:rsidR="00911F18" w:rsidRPr="008B43F6" w:rsidRDefault="00911F18" w:rsidP="00C12621">
      <w:pPr>
        <w:pStyle w:val="Prrafodelista"/>
        <w:numPr>
          <w:ilvl w:val="0"/>
          <w:numId w:val="2"/>
        </w:numPr>
        <w:jc w:val="both"/>
      </w:pPr>
      <w:r w:rsidRPr="008B43F6">
        <w:rPr>
          <w:b/>
        </w:rPr>
        <w:t>Transitar hacia un modelo de desarrollo urbano sustentable e inteligente.</w:t>
      </w:r>
      <w:r w:rsidRPr="008B43F6">
        <w:t xml:space="preserve"> </w:t>
      </w:r>
      <w:r w:rsidR="00A142FE" w:rsidRPr="008B43F6">
        <w:t>Se b</w:t>
      </w:r>
      <w:r w:rsidR="00B93F29" w:rsidRPr="008B43F6">
        <w:t>usca principalmente el ordenamiento urbano, el rescate de espacios, así como la construcción de viviendas verticales y desarrollos certificados.</w:t>
      </w:r>
    </w:p>
    <w:p w:rsidR="00B93F29" w:rsidRPr="008B43F6" w:rsidRDefault="00B93F29" w:rsidP="00C12621">
      <w:pPr>
        <w:pStyle w:val="Prrafodelista"/>
        <w:numPr>
          <w:ilvl w:val="0"/>
          <w:numId w:val="2"/>
        </w:numPr>
        <w:jc w:val="both"/>
      </w:pPr>
      <w:r w:rsidRPr="008B43F6">
        <w:rPr>
          <w:b/>
        </w:rPr>
        <w:t>Coordinación Interinstitucional.</w:t>
      </w:r>
      <w:r w:rsidR="00A142FE" w:rsidRPr="008B43F6">
        <w:t xml:space="preserve"> S</w:t>
      </w:r>
      <w:r w:rsidRPr="008B43F6">
        <w:t>e plantea lograr una mayor y mejor coordinación entre Secretarías y Comisiones</w:t>
      </w:r>
      <w:r w:rsidR="00833544" w:rsidRPr="008B43F6">
        <w:t>.</w:t>
      </w:r>
    </w:p>
    <w:p w:rsidR="00833544" w:rsidRPr="008B43F6" w:rsidRDefault="00833544" w:rsidP="00C12621">
      <w:pPr>
        <w:pStyle w:val="Prrafodelista"/>
        <w:jc w:val="both"/>
        <w:rPr>
          <w:color w:val="1F497D" w:themeColor="text2"/>
        </w:rPr>
      </w:pPr>
    </w:p>
    <w:p w:rsidR="005C7E01" w:rsidRPr="008B43F6" w:rsidRDefault="007047A4" w:rsidP="00C12621">
      <w:pPr>
        <w:pStyle w:val="Ttulo2"/>
        <w:jc w:val="both"/>
        <w:rPr>
          <w:rFonts w:asciiTheme="minorHAnsi" w:hAnsiTheme="minorHAnsi"/>
        </w:rPr>
      </w:pPr>
      <w:bookmarkStart w:id="37" w:name="_Toc350874966"/>
      <w:bookmarkStart w:id="38" w:name="_Toc351397578"/>
      <w:r w:rsidRPr="008B43F6">
        <w:rPr>
          <w:rFonts w:asciiTheme="minorHAnsi" w:hAnsiTheme="minorHAnsi"/>
        </w:rPr>
        <w:t>3.2 Política energética</w:t>
      </w:r>
      <w:bookmarkEnd w:id="37"/>
      <w:bookmarkEnd w:id="38"/>
      <w:r w:rsidRPr="008B43F6">
        <w:rPr>
          <w:rFonts w:asciiTheme="minorHAnsi" w:hAnsiTheme="minorHAnsi"/>
        </w:rPr>
        <w:t xml:space="preserve"> </w:t>
      </w:r>
    </w:p>
    <w:p w:rsidR="00DD1317" w:rsidRPr="008B43F6" w:rsidRDefault="00DD1317" w:rsidP="00C12621">
      <w:pPr>
        <w:jc w:val="both"/>
      </w:pPr>
      <w:r w:rsidRPr="008B43F6">
        <w:t>La política energética mexicana se ha basado en el uso intensivo y exportación de petróleo</w:t>
      </w:r>
      <w:r w:rsidR="008710CA" w:rsidRPr="008B43F6">
        <w:t xml:space="preserve"> </w:t>
      </w:r>
      <w:r w:rsidR="00932F80" w:rsidRPr="008B43F6">
        <w:t xml:space="preserve">y </w:t>
      </w:r>
      <w:r w:rsidRPr="008B43F6">
        <w:t xml:space="preserve"> la matriz energética sigue basada fundamentalmente en la producción de energía de recursos no renovables y contaminantes.</w:t>
      </w:r>
    </w:p>
    <w:p w:rsidR="00DD1317" w:rsidRPr="008B43F6" w:rsidRDefault="00427EFE" w:rsidP="00C12621">
      <w:pPr>
        <w:jc w:val="both"/>
        <w:rPr>
          <w:color w:val="000000" w:themeColor="text1"/>
        </w:rPr>
      </w:pPr>
      <w:r w:rsidRPr="008B43F6">
        <w:t xml:space="preserve">La reforma energética aprobada en octubre de 2008 </w:t>
      </w:r>
      <w:r w:rsidR="00623DC8" w:rsidRPr="008B43F6">
        <w:t>apuesta</w:t>
      </w:r>
      <w:r w:rsidRPr="008B43F6">
        <w:t xml:space="preserve"> </w:t>
      </w:r>
      <w:r w:rsidR="00623DC8" w:rsidRPr="008B43F6">
        <w:t>a</w:t>
      </w:r>
      <w:r w:rsidRPr="008B43F6">
        <w:t xml:space="preserve"> una transformación en la matriz energética hacia un desarrollo más amigable con el medio ambiente, entre ellos, la creación de la Ley para el Aprovechamiento de las Energías Renovables y el Financiamiento de la Transición </w:t>
      </w:r>
      <w:r w:rsidRPr="008B43F6">
        <w:rPr>
          <w:color w:val="000000" w:themeColor="text1"/>
        </w:rPr>
        <w:t>Energética</w:t>
      </w:r>
      <w:r w:rsidR="0032521B" w:rsidRPr="008B43F6">
        <w:rPr>
          <w:color w:val="000000" w:themeColor="text1"/>
        </w:rPr>
        <w:t xml:space="preserve"> </w:t>
      </w:r>
      <w:r w:rsidR="0032521B" w:rsidRPr="008B43F6">
        <w:rPr>
          <w:color w:val="000000" w:themeColor="text1"/>
        </w:rPr>
        <w:fldChar w:fldCharType="begin"/>
      </w:r>
      <w:r w:rsidR="003113E5" w:rsidRPr="008B43F6">
        <w:rPr>
          <w:color w:val="000000" w:themeColor="text1"/>
        </w:rPr>
        <w:instrText xml:space="preserve"> ADDIN EN.CITE &lt;EndNote&gt;&lt;Cite&gt;&lt;Year&gt;2011&lt;/Year&gt;&lt;RecNum&gt;83&lt;/RecNum&gt;&lt;DisplayText&gt;[15]&lt;/DisplayText&gt;&lt;record&gt;&lt;rec-number&gt;83&lt;/rec-number&gt;&lt;foreign-keys&gt;&lt;key app="EN" db-id="w0w9edzzlxxfdgesvf359ft8wzxverspwaav"&gt;83&lt;/key&gt;&lt;/foreign-keys&gt;&lt;ref-type name="Government Document"&gt;46&lt;/ref-type&gt;&lt;contributors&gt;&lt;/contributors&gt;&lt;titles&gt;&lt;title&gt;Ley para el aprovechamiento de las energías renovables y el financiamiento de la transición energética&lt;/title&gt;&lt;tertiary-title&gt;Diario Oficial de la Federación&lt;/tertiary-title&gt;&lt;/titles&gt;&lt;dates&gt;&lt;year&gt;2011&lt;/year&gt;&lt;/dates&gt;&lt;urls&gt;&lt;/urls&gt;&lt;/record&gt;&lt;/Cite&gt;&lt;/EndNote&gt;</w:instrText>
      </w:r>
      <w:r w:rsidR="0032521B" w:rsidRPr="008B43F6">
        <w:rPr>
          <w:color w:val="000000" w:themeColor="text1"/>
        </w:rPr>
        <w:fldChar w:fldCharType="separate"/>
      </w:r>
      <w:r w:rsidR="003113E5" w:rsidRPr="008B43F6">
        <w:rPr>
          <w:noProof/>
          <w:color w:val="000000" w:themeColor="text1"/>
        </w:rPr>
        <w:t>[</w:t>
      </w:r>
      <w:hyperlink w:anchor="_ENREF_15" w:tooltip=", 2011 #83" w:history="1">
        <w:r w:rsidR="00251C87" w:rsidRPr="008B43F6">
          <w:rPr>
            <w:noProof/>
            <w:color w:val="000000" w:themeColor="text1"/>
          </w:rPr>
          <w:t>15</w:t>
        </w:r>
      </w:hyperlink>
      <w:r w:rsidR="003113E5" w:rsidRPr="008B43F6">
        <w:rPr>
          <w:noProof/>
          <w:color w:val="000000" w:themeColor="text1"/>
        </w:rPr>
        <w:t>]</w:t>
      </w:r>
      <w:r w:rsidR="0032521B" w:rsidRPr="008B43F6">
        <w:rPr>
          <w:color w:val="000000" w:themeColor="text1"/>
        </w:rPr>
        <w:fldChar w:fldCharType="end"/>
      </w:r>
      <w:r w:rsidRPr="008B43F6">
        <w:rPr>
          <w:color w:val="000000" w:themeColor="text1"/>
        </w:rPr>
        <w:t>.</w:t>
      </w:r>
    </w:p>
    <w:p w:rsidR="001F5713" w:rsidRPr="008B43F6" w:rsidRDefault="001F5713" w:rsidP="00C12621">
      <w:pPr>
        <w:jc w:val="both"/>
        <w:rPr>
          <w:i/>
          <w:color w:val="000000" w:themeColor="text1"/>
        </w:rPr>
      </w:pPr>
      <w:r w:rsidRPr="008B43F6">
        <w:rPr>
          <w:color w:val="000000" w:themeColor="text1"/>
        </w:rPr>
        <w:t xml:space="preserve">México </w:t>
      </w:r>
      <w:r w:rsidR="00F20B58" w:rsidRPr="008B43F6">
        <w:rPr>
          <w:color w:val="000000" w:themeColor="text1"/>
        </w:rPr>
        <w:t>ha mantenido un compromiso con la</w:t>
      </w:r>
      <w:r w:rsidRPr="008B43F6">
        <w:rPr>
          <w:color w:val="000000" w:themeColor="text1"/>
        </w:rPr>
        <w:t xml:space="preserve"> mitigación de</w:t>
      </w:r>
      <w:r w:rsidR="00F20B58" w:rsidRPr="008B43F6">
        <w:rPr>
          <w:color w:val="000000" w:themeColor="text1"/>
        </w:rPr>
        <w:t>l</w:t>
      </w:r>
      <w:r w:rsidRPr="008B43F6">
        <w:rPr>
          <w:color w:val="000000" w:themeColor="text1"/>
        </w:rPr>
        <w:t xml:space="preserve"> cambio climático</w:t>
      </w:r>
      <w:r w:rsidR="00F20B58" w:rsidRPr="008B43F6">
        <w:rPr>
          <w:color w:val="000000" w:themeColor="text1"/>
        </w:rPr>
        <w:t>.  D</w:t>
      </w:r>
      <w:r w:rsidRPr="008B43F6">
        <w:rPr>
          <w:color w:val="000000" w:themeColor="text1"/>
        </w:rPr>
        <w:t xml:space="preserve">entro de su política energética actual </w:t>
      </w:r>
      <w:r w:rsidR="00F20B58" w:rsidRPr="008B43F6">
        <w:rPr>
          <w:color w:val="000000" w:themeColor="text1"/>
        </w:rPr>
        <w:t xml:space="preserve">tiene </w:t>
      </w:r>
      <w:r w:rsidRPr="008B43F6">
        <w:rPr>
          <w:color w:val="000000" w:themeColor="text1"/>
        </w:rPr>
        <w:t xml:space="preserve">un componente </w:t>
      </w:r>
      <w:r w:rsidR="0047532E" w:rsidRPr="008B43F6">
        <w:rPr>
          <w:color w:val="000000" w:themeColor="text1"/>
        </w:rPr>
        <w:t>hacia la transición energética</w:t>
      </w:r>
      <w:r w:rsidR="00F20B58" w:rsidRPr="008B43F6">
        <w:rPr>
          <w:color w:val="000000" w:themeColor="text1"/>
        </w:rPr>
        <w:t>.  E</w:t>
      </w:r>
      <w:r w:rsidR="0047532E" w:rsidRPr="008B43F6">
        <w:rPr>
          <w:color w:val="000000" w:themeColor="text1"/>
        </w:rPr>
        <w:t xml:space="preserve">n el apartado 2.4 </w:t>
      </w:r>
      <w:r w:rsidR="0047532E" w:rsidRPr="008B43F6">
        <w:rPr>
          <w:i/>
          <w:color w:val="000000" w:themeColor="text1"/>
        </w:rPr>
        <w:t>Desarrollo Sustentable</w:t>
      </w:r>
      <w:r w:rsidR="0047532E" w:rsidRPr="008B43F6">
        <w:rPr>
          <w:color w:val="000000" w:themeColor="text1"/>
        </w:rPr>
        <w:t xml:space="preserve"> del Pacto por México se expres</w:t>
      </w:r>
      <w:r w:rsidR="00F20B58" w:rsidRPr="008B43F6">
        <w:rPr>
          <w:color w:val="000000" w:themeColor="text1"/>
        </w:rPr>
        <w:t>a</w:t>
      </w:r>
      <w:r w:rsidR="0047532E" w:rsidRPr="008B43F6">
        <w:rPr>
          <w:color w:val="000000" w:themeColor="text1"/>
        </w:rPr>
        <w:t xml:space="preserve"> que es necesaria una nueva cultura y </w:t>
      </w:r>
      <w:r w:rsidR="00F20B58" w:rsidRPr="008B43F6">
        <w:rPr>
          <w:color w:val="000000" w:themeColor="text1"/>
        </w:rPr>
        <w:t>para modificar</w:t>
      </w:r>
      <w:r w:rsidR="0047532E" w:rsidRPr="008B43F6">
        <w:rPr>
          <w:color w:val="000000" w:themeColor="text1"/>
        </w:rPr>
        <w:t xml:space="preserve"> el estilo de vida de los mexicanos y para ello </w:t>
      </w:r>
      <w:r w:rsidR="00F20B58" w:rsidRPr="008B43F6">
        <w:rPr>
          <w:color w:val="000000" w:themeColor="text1"/>
        </w:rPr>
        <w:t>propone como acciones a seguir (</w:t>
      </w:r>
      <w:r w:rsidR="0047532E" w:rsidRPr="008B43F6">
        <w:rPr>
          <w:color w:val="000000" w:themeColor="text1"/>
        </w:rPr>
        <w:t>Compromiso 49</w:t>
      </w:r>
      <w:r w:rsidR="00F20B58" w:rsidRPr="008B43F6">
        <w:rPr>
          <w:color w:val="000000" w:themeColor="text1"/>
        </w:rPr>
        <w:t>)</w:t>
      </w:r>
      <w:r w:rsidR="0047532E" w:rsidRPr="008B43F6">
        <w:rPr>
          <w:color w:val="000000" w:themeColor="text1"/>
        </w:rPr>
        <w:t xml:space="preserve"> </w:t>
      </w:r>
      <w:r w:rsidR="0047532E" w:rsidRPr="008B43F6">
        <w:rPr>
          <w:i/>
          <w:color w:val="000000" w:themeColor="text1"/>
        </w:rPr>
        <w:t xml:space="preserve">“…Para reducir nuestra dependencia a los combustibles fósiles, se impulsará la </w:t>
      </w:r>
      <w:r w:rsidR="0047532E" w:rsidRPr="008B43F6">
        <w:rPr>
          <w:i/>
          <w:color w:val="000000" w:themeColor="text1"/>
        </w:rPr>
        <w:lastRenderedPageBreak/>
        <w:t>inversión para la investigación y el desarrollo de proyectos de energías a partir de fuentes renovables, como la energía solar y la eólica…”</w:t>
      </w:r>
      <w:r w:rsidR="00F20B58" w:rsidRPr="008B43F6">
        <w:rPr>
          <w:i/>
          <w:color w:val="000000" w:themeColor="text1"/>
        </w:rPr>
        <w:t xml:space="preserve"> </w:t>
      </w:r>
      <w:r w:rsidR="00F20B58" w:rsidRPr="008B43F6">
        <w:rPr>
          <w:i/>
          <w:color w:val="000000" w:themeColor="text1"/>
        </w:rPr>
        <w:fldChar w:fldCharType="begin"/>
      </w:r>
      <w:r w:rsidR="003113E5" w:rsidRPr="008B43F6">
        <w:rPr>
          <w:i/>
          <w:color w:val="000000" w:themeColor="text1"/>
        </w:rPr>
        <w:instrText xml:space="preserve"> ADDIN EN.CITE &lt;EndNote&gt;&lt;Cite&gt;&lt;Year&gt;2012&lt;/Year&gt;&lt;RecNum&gt;84&lt;/RecNum&gt;&lt;DisplayText&gt;[16]&lt;/DisplayText&gt;&lt;record&gt;&lt;rec-number&gt;84&lt;/rec-number&gt;&lt;foreign-keys&gt;&lt;key app="EN" db-id="w0w9edzzlxxfdgesvf359ft8wzxverspwaav"&gt;84&lt;/key&gt;&lt;/foreign-keys&gt;&lt;ref-type name="Journal Article"&gt;17&lt;/ref-type&gt;&lt;contributors&gt;&lt;/contributors&gt;&lt;titles&gt;&lt;title&gt;Pacto por México&lt;/title&gt;&lt;/titles&gt;&lt;dates&gt;&lt;year&gt;2012&lt;/year&gt;&lt;/dates&gt;&lt;urls&gt;&lt;related-urls&gt;&lt;url&gt;http://www.presidencia.gob.mx/wp-content/uploads/2012/12/Pacto-Por-M%C3%A9xico-TODOS-los-acuerdos.pdf&lt;/url&gt;&lt;/related-urls&gt;&lt;/urls&gt;&lt;/record&gt;&lt;/Cite&gt;&lt;/EndNote&gt;</w:instrText>
      </w:r>
      <w:r w:rsidR="00F20B58" w:rsidRPr="008B43F6">
        <w:rPr>
          <w:i/>
          <w:color w:val="000000" w:themeColor="text1"/>
        </w:rPr>
        <w:fldChar w:fldCharType="separate"/>
      </w:r>
      <w:r w:rsidR="003113E5" w:rsidRPr="008B43F6">
        <w:rPr>
          <w:i/>
          <w:noProof/>
          <w:color w:val="000000" w:themeColor="text1"/>
        </w:rPr>
        <w:t>[</w:t>
      </w:r>
      <w:hyperlink w:anchor="_ENREF_16" w:tooltip=", 2012 #84" w:history="1">
        <w:r w:rsidR="00251C87" w:rsidRPr="008B43F6">
          <w:rPr>
            <w:i/>
            <w:noProof/>
            <w:color w:val="000000" w:themeColor="text1"/>
          </w:rPr>
          <w:t>16</w:t>
        </w:r>
      </w:hyperlink>
      <w:r w:rsidR="003113E5" w:rsidRPr="008B43F6">
        <w:rPr>
          <w:i/>
          <w:noProof/>
          <w:color w:val="000000" w:themeColor="text1"/>
        </w:rPr>
        <w:t>]</w:t>
      </w:r>
      <w:r w:rsidR="00F20B58" w:rsidRPr="008B43F6">
        <w:rPr>
          <w:i/>
          <w:color w:val="000000" w:themeColor="text1"/>
        </w:rPr>
        <w:fldChar w:fldCharType="end"/>
      </w:r>
      <w:r w:rsidR="00F20B58" w:rsidRPr="008B43F6">
        <w:rPr>
          <w:i/>
          <w:color w:val="000000" w:themeColor="text1"/>
        </w:rPr>
        <w:t>.</w:t>
      </w:r>
    </w:p>
    <w:p w:rsidR="0047532E" w:rsidRPr="008B43F6" w:rsidRDefault="0047532E" w:rsidP="00C12621">
      <w:pPr>
        <w:jc w:val="both"/>
        <w:rPr>
          <w:color w:val="000000" w:themeColor="text1"/>
        </w:rPr>
      </w:pPr>
      <w:r w:rsidRPr="008B43F6">
        <w:rPr>
          <w:color w:val="000000" w:themeColor="text1"/>
        </w:rPr>
        <w:t xml:space="preserve">Asimismo,  y en éste contexto, la </w:t>
      </w:r>
      <w:r w:rsidR="00580644" w:rsidRPr="008B43F6">
        <w:rPr>
          <w:color w:val="000000" w:themeColor="text1"/>
        </w:rPr>
        <w:t>actual administración ha definido que</w:t>
      </w:r>
      <w:r w:rsidR="00F20B58" w:rsidRPr="008B43F6">
        <w:rPr>
          <w:color w:val="000000" w:themeColor="text1"/>
        </w:rPr>
        <w:t xml:space="preserve"> </w:t>
      </w:r>
      <w:r w:rsidRPr="008B43F6">
        <w:rPr>
          <w:color w:val="000000" w:themeColor="text1"/>
        </w:rPr>
        <w:t>la estrategia a</w:t>
      </w:r>
      <w:r w:rsidR="002C7FDB" w:rsidRPr="008B43F6">
        <w:rPr>
          <w:color w:val="000000" w:themeColor="text1"/>
        </w:rPr>
        <w:t xml:space="preserve"> seguir durante </w:t>
      </w:r>
      <w:r w:rsidR="00580644" w:rsidRPr="008B43F6">
        <w:rPr>
          <w:color w:val="000000" w:themeColor="text1"/>
        </w:rPr>
        <w:t>los próximos seis años</w:t>
      </w:r>
      <w:r w:rsidR="002C7FDB" w:rsidRPr="008B43F6">
        <w:rPr>
          <w:color w:val="000000" w:themeColor="text1"/>
        </w:rPr>
        <w:t xml:space="preserve"> tendrá como ejes primordiales </w:t>
      </w:r>
      <w:r w:rsidRPr="008B43F6">
        <w:rPr>
          <w:color w:val="000000" w:themeColor="text1"/>
        </w:rPr>
        <w:t>la eficiencia energética</w:t>
      </w:r>
      <w:r w:rsidR="002C7FDB" w:rsidRPr="008B43F6">
        <w:rPr>
          <w:color w:val="000000" w:themeColor="text1"/>
        </w:rPr>
        <w:t xml:space="preserve"> y</w:t>
      </w:r>
      <w:r w:rsidRPr="008B43F6">
        <w:rPr>
          <w:color w:val="000000" w:themeColor="text1"/>
        </w:rPr>
        <w:t xml:space="preserve"> desarrollo de energías renovables </w:t>
      </w:r>
      <w:r w:rsidR="002C7FDB" w:rsidRPr="008B43F6">
        <w:rPr>
          <w:color w:val="000000" w:themeColor="text1"/>
        </w:rPr>
        <w:fldChar w:fldCharType="begin"/>
      </w:r>
      <w:r w:rsidR="003113E5" w:rsidRPr="008B43F6">
        <w:rPr>
          <w:color w:val="000000" w:themeColor="text1"/>
        </w:rPr>
        <w:instrText xml:space="preserve"> ADDIN EN.CITE &lt;EndNote&gt;&lt;Cite&gt;&lt;Year&gt;2012&lt;/Year&gt;&lt;RecNum&gt;84&lt;/RecNum&gt;&lt;DisplayText&gt;[16]&lt;/DisplayText&gt;&lt;record&gt;&lt;rec-number&gt;84&lt;/rec-number&gt;&lt;foreign-keys&gt;&lt;key app="EN" db-id="w0w9edzzlxxfdgesvf359ft8wzxverspwaav"&gt;84&lt;/key&gt;&lt;/foreign-keys&gt;&lt;ref-type name="Journal Article"&gt;17&lt;/ref-type&gt;&lt;contributors&gt;&lt;/contributors&gt;&lt;titles&gt;&lt;title&gt;Pacto por México&lt;/title&gt;&lt;/titles&gt;&lt;dates&gt;&lt;year&gt;2012&lt;/year&gt;&lt;/dates&gt;&lt;urls&gt;&lt;related-urls&gt;&lt;url&gt;http://www.presidencia.gob.mx/wp-content/uploads/2012/12/Pacto-Por-M%C3%A9xico-TODOS-los-acuerdos.pdf&lt;/url&gt;&lt;/related-urls&gt;&lt;/urls&gt;&lt;/record&gt;&lt;/Cite&gt;&lt;/EndNote&gt;</w:instrText>
      </w:r>
      <w:r w:rsidR="002C7FDB" w:rsidRPr="008B43F6">
        <w:rPr>
          <w:color w:val="000000" w:themeColor="text1"/>
        </w:rPr>
        <w:fldChar w:fldCharType="separate"/>
      </w:r>
      <w:r w:rsidR="003113E5" w:rsidRPr="008B43F6">
        <w:rPr>
          <w:noProof/>
          <w:color w:val="000000" w:themeColor="text1"/>
        </w:rPr>
        <w:t>[</w:t>
      </w:r>
      <w:hyperlink w:anchor="_ENREF_16" w:tooltip=", 2012 #84" w:history="1">
        <w:r w:rsidR="00251C87" w:rsidRPr="008B43F6">
          <w:rPr>
            <w:noProof/>
            <w:color w:val="000000" w:themeColor="text1"/>
          </w:rPr>
          <w:t>16</w:t>
        </w:r>
      </w:hyperlink>
      <w:r w:rsidR="003113E5" w:rsidRPr="008B43F6">
        <w:rPr>
          <w:noProof/>
          <w:color w:val="000000" w:themeColor="text1"/>
        </w:rPr>
        <w:t>]</w:t>
      </w:r>
      <w:r w:rsidR="002C7FDB" w:rsidRPr="008B43F6">
        <w:rPr>
          <w:color w:val="000000" w:themeColor="text1"/>
        </w:rPr>
        <w:fldChar w:fldCharType="end"/>
      </w:r>
      <w:r w:rsidR="002C7FDB" w:rsidRPr="008B43F6">
        <w:rPr>
          <w:color w:val="000000" w:themeColor="text1"/>
        </w:rPr>
        <w:t>.</w:t>
      </w:r>
    </w:p>
    <w:p w:rsidR="007047A4" w:rsidRPr="008B43F6" w:rsidRDefault="007047A4" w:rsidP="00C12621">
      <w:pPr>
        <w:pStyle w:val="Ttulo2"/>
        <w:jc w:val="both"/>
        <w:rPr>
          <w:rFonts w:asciiTheme="minorHAnsi" w:hAnsiTheme="minorHAnsi"/>
        </w:rPr>
      </w:pPr>
      <w:bookmarkStart w:id="39" w:name="_Toc350874967"/>
      <w:bookmarkStart w:id="40" w:name="_Toc351397579"/>
      <w:r w:rsidRPr="008B43F6">
        <w:rPr>
          <w:rFonts w:asciiTheme="minorHAnsi" w:hAnsiTheme="minorHAnsi"/>
        </w:rPr>
        <w:t>3.3 Política ambiental</w:t>
      </w:r>
      <w:bookmarkEnd w:id="39"/>
      <w:bookmarkEnd w:id="40"/>
    </w:p>
    <w:p w:rsidR="00B338DF" w:rsidRPr="008B43F6" w:rsidRDefault="00B338DF" w:rsidP="00C12621">
      <w:pPr>
        <w:spacing w:after="120"/>
        <w:jc w:val="both"/>
        <w:rPr>
          <w:rFonts w:cstheme="minorHAnsi"/>
          <w:color w:val="000000" w:themeColor="text1"/>
        </w:rPr>
      </w:pPr>
      <w:r w:rsidRPr="008B43F6">
        <w:rPr>
          <w:rFonts w:cstheme="minorHAnsi"/>
          <w:color w:val="000000" w:themeColor="text1"/>
        </w:rPr>
        <w:t xml:space="preserve">Aunque la política ambiental de la </w:t>
      </w:r>
      <w:r w:rsidR="002B128C" w:rsidRPr="008B43F6">
        <w:rPr>
          <w:rFonts w:cstheme="minorHAnsi"/>
          <w:color w:val="000000" w:themeColor="text1"/>
        </w:rPr>
        <w:t xml:space="preserve"> </w:t>
      </w:r>
      <w:r w:rsidR="00580644" w:rsidRPr="008B43F6">
        <w:rPr>
          <w:rFonts w:cstheme="minorHAnsi"/>
          <w:color w:val="000000" w:themeColor="text1"/>
        </w:rPr>
        <w:t xml:space="preserve">nueva </w:t>
      </w:r>
      <w:r w:rsidRPr="008B43F6">
        <w:rPr>
          <w:rFonts w:cstheme="minorHAnsi"/>
          <w:color w:val="000000" w:themeColor="text1"/>
        </w:rPr>
        <w:t xml:space="preserve">administración no ha sido definida en </w:t>
      </w:r>
      <w:r w:rsidR="00580644" w:rsidRPr="008B43F6">
        <w:rPr>
          <w:rFonts w:cstheme="minorHAnsi"/>
          <w:color w:val="000000" w:themeColor="text1"/>
        </w:rPr>
        <w:t>detalle</w:t>
      </w:r>
      <w:r w:rsidRPr="008B43F6">
        <w:rPr>
          <w:rFonts w:cstheme="minorHAnsi"/>
          <w:color w:val="000000" w:themeColor="text1"/>
        </w:rPr>
        <w:t>,</w:t>
      </w:r>
      <w:r w:rsidR="002B128C" w:rsidRPr="008B43F6">
        <w:rPr>
          <w:rFonts w:cstheme="minorHAnsi"/>
          <w:color w:val="000000" w:themeColor="text1"/>
        </w:rPr>
        <w:t xml:space="preserve"> </w:t>
      </w:r>
      <w:r w:rsidR="00D5769B" w:rsidRPr="008B43F6">
        <w:rPr>
          <w:rFonts w:cstheme="minorHAnsi"/>
          <w:color w:val="000000" w:themeColor="text1"/>
        </w:rPr>
        <w:t xml:space="preserve">el gobierno </w:t>
      </w:r>
      <w:r w:rsidR="00580644" w:rsidRPr="008B43F6">
        <w:rPr>
          <w:rFonts w:cstheme="minorHAnsi"/>
          <w:color w:val="000000" w:themeColor="text1"/>
        </w:rPr>
        <w:t xml:space="preserve">federal </w:t>
      </w:r>
      <w:r w:rsidR="002B128C" w:rsidRPr="008B43F6">
        <w:rPr>
          <w:rFonts w:cstheme="minorHAnsi"/>
          <w:color w:val="000000" w:themeColor="text1"/>
        </w:rPr>
        <w:t xml:space="preserve">sigue en la línea del desarrollo sustentable y de enfrentar con responsabilidad </w:t>
      </w:r>
      <w:r w:rsidR="002C7FDB" w:rsidRPr="008B43F6">
        <w:rPr>
          <w:rFonts w:cstheme="minorHAnsi"/>
          <w:color w:val="000000" w:themeColor="text1"/>
        </w:rPr>
        <w:t>el</w:t>
      </w:r>
      <w:r w:rsidRPr="008B43F6">
        <w:rPr>
          <w:rFonts w:cstheme="minorHAnsi"/>
          <w:color w:val="000000" w:themeColor="text1"/>
        </w:rPr>
        <w:t xml:space="preserve"> cambio climático. E</w:t>
      </w:r>
      <w:r w:rsidR="002B128C" w:rsidRPr="008B43F6">
        <w:rPr>
          <w:rFonts w:cstheme="minorHAnsi"/>
          <w:color w:val="000000" w:themeColor="text1"/>
        </w:rPr>
        <w:t>l  Pacto por México expresa la necesidad de cambiar la forma en que se produce, consume y se desecha en el país y propone acciones como: el uso de fuentes renovables, la captación y almacenamiento de aguas pluviales y un aumento en la infraestructura para recolectar, separar, reciclar y aprovechar el potenc</w:t>
      </w:r>
      <w:r w:rsidR="002C7FDB" w:rsidRPr="008B43F6">
        <w:rPr>
          <w:rFonts w:cstheme="minorHAnsi"/>
          <w:color w:val="000000" w:themeColor="text1"/>
        </w:rPr>
        <w:t xml:space="preserve">ial de residuos en todo el país </w:t>
      </w:r>
      <w:r w:rsidR="002C7FDB" w:rsidRPr="008B43F6">
        <w:rPr>
          <w:rFonts w:cstheme="minorHAnsi"/>
          <w:color w:val="000000" w:themeColor="text1"/>
        </w:rPr>
        <w:fldChar w:fldCharType="begin"/>
      </w:r>
      <w:r w:rsidR="00251C87">
        <w:rPr>
          <w:rFonts w:cstheme="minorHAnsi"/>
          <w:color w:val="000000" w:themeColor="text1"/>
        </w:rPr>
        <w:instrText xml:space="preserve"> ADDIN EN.CITE &lt;EndNote&gt;&lt;Cite&gt;&lt;RecNum&gt;44&lt;/RecNum&gt;&lt;DisplayText&gt;[17]&lt;/DisplayText&gt;&lt;record&gt;&lt;rec-number&gt;44&lt;/rec-number&gt;&lt;foreign-keys&gt;&lt;key app="EN" db-id="t0v9wvp5gtw2r4efsfnxdz01xvzddafaaa0w"&gt;44&lt;/key&gt;&lt;/foreign-keys&gt;&lt;ref-type name="Report"&gt;27&lt;/ref-type&gt;&lt;contributors&gt;&lt;authors&gt;&lt;author&gt;AEAEE&lt;/author&gt;&lt;/authors&gt;&lt;/contributors&gt;&lt;titles&gt;&lt;title&gt;Ahorro de Energía en la Edificación en México&lt;/title&gt;&lt;/titles&gt;&lt;pages&gt;20&lt;/pages&gt;&lt;dates&gt;&lt;year&gt;2008&lt;/year&gt;&lt;/dates&gt;&lt;publisher&gt;Asociación de Empresas para el Ahorro de Energía en la Edificación,&lt;/publisher&gt;&lt;urls&gt;&lt;/urls&gt;&lt;/record&gt;&lt;/Cite&gt;&lt;/EndNote&gt;</w:instrText>
      </w:r>
      <w:r w:rsidR="002C7FDB" w:rsidRPr="008B43F6">
        <w:rPr>
          <w:rFonts w:cstheme="minorHAnsi"/>
          <w:color w:val="000000" w:themeColor="text1"/>
        </w:rPr>
        <w:fldChar w:fldCharType="separate"/>
      </w:r>
      <w:r w:rsidR="003113E5" w:rsidRPr="008B43F6">
        <w:rPr>
          <w:rFonts w:cstheme="minorHAnsi"/>
          <w:noProof/>
          <w:color w:val="000000" w:themeColor="text1"/>
        </w:rPr>
        <w:t>[</w:t>
      </w:r>
      <w:hyperlink w:anchor="_ENREF_17" w:tooltip="AEAEE, 2008 #44" w:history="1">
        <w:r w:rsidR="00251C87" w:rsidRPr="008B43F6">
          <w:rPr>
            <w:rFonts w:cstheme="minorHAnsi"/>
            <w:noProof/>
            <w:color w:val="000000" w:themeColor="text1"/>
          </w:rPr>
          <w:t>17</w:t>
        </w:r>
      </w:hyperlink>
      <w:r w:rsidR="003113E5" w:rsidRPr="008B43F6">
        <w:rPr>
          <w:rFonts w:cstheme="minorHAnsi"/>
          <w:noProof/>
          <w:color w:val="000000" w:themeColor="text1"/>
        </w:rPr>
        <w:t>]</w:t>
      </w:r>
      <w:r w:rsidR="002C7FDB" w:rsidRPr="008B43F6">
        <w:rPr>
          <w:rFonts w:cstheme="minorHAnsi"/>
          <w:color w:val="000000" w:themeColor="text1"/>
        </w:rPr>
        <w:fldChar w:fldCharType="end"/>
      </w:r>
      <w:r w:rsidR="00580644" w:rsidRPr="008B43F6">
        <w:rPr>
          <w:rFonts w:cstheme="minorHAnsi"/>
          <w:color w:val="000000" w:themeColor="text1"/>
        </w:rPr>
        <w:t>.</w:t>
      </w:r>
    </w:p>
    <w:p w:rsidR="00580644" w:rsidRPr="008B43F6" w:rsidRDefault="00580644" w:rsidP="00C12621">
      <w:pPr>
        <w:spacing w:after="120"/>
        <w:jc w:val="both"/>
        <w:rPr>
          <w:rFonts w:cstheme="minorHAnsi"/>
          <w:color w:val="000000" w:themeColor="text1"/>
        </w:rPr>
      </w:pPr>
      <w:r w:rsidRPr="008B43F6">
        <w:rPr>
          <w:color w:val="000000" w:themeColor="text1"/>
        </w:rPr>
        <w:t xml:space="preserve">Asimismo, el Pacto por México refiere, dentro de sus acciones de política económica. El “transitar hacia una economía baja en carbono” </w:t>
      </w:r>
      <w:r w:rsidRPr="008B43F6">
        <w:rPr>
          <w:rFonts w:cstheme="minorHAnsi"/>
          <w:color w:val="000000" w:themeColor="text1"/>
        </w:rPr>
        <w:fldChar w:fldCharType="begin"/>
      </w:r>
      <w:r w:rsidR="00251C87">
        <w:rPr>
          <w:rFonts w:cstheme="minorHAnsi"/>
          <w:color w:val="000000" w:themeColor="text1"/>
        </w:rPr>
        <w:instrText xml:space="preserve"> ADDIN EN.CITE &lt;EndNote&gt;&lt;Cite&gt;&lt;RecNum&gt;44&lt;/RecNum&gt;&lt;DisplayText&gt;[17]&lt;/DisplayText&gt;&lt;record&gt;&lt;rec-number&gt;44&lt;/rec-number&gt;&lt;foreign-keys&gt;&lt;key app="EN" db-id="t0v9wvp5gtw2r4efsfnxdz01xvzddafaaa0w"&gt;44&lt;/key&gt;&lt;/foreign-keys&gt;&lt;ref-type name="Report"&gt;27&lt;/ref-type&gt;&lt;contributors&gt;&lt;authors&gt;&lt;author&gt;AEAEE&lt;/author&gt;&lt;/authors&gt;&lt;/contributors&gt;&lt;titles&gt;&lt;title&gt;Ahorro de Energía en la Edificación en México&lt;/title&gt;&lt;/titles&gt;&lt;pages&gt;20&lt;/pages&gt;&lt;dates&gt;&lt;year&gt;2008&lt;/year&gt;&lt;/dates&gt;&lt;publisher&gt;Asociación de Empresas para el Ahorro de Energía en la Edificación,&lt;/publisher&gt;&lt;urls&gt;&lt;/urls&gt;&lt;/record&gt;&lt;/Cite&gt;&lt;/EndNote&gt;</w:instrText>
      </w:r>
      <w:r w:rsidRPr="008B43F6">
        <w:rPr>
          <w:rFonts w:cstheme="minorHAnsi"/>
          <w:color w:val="000000" w:themeColor="text1"/>
        </w:rPr>
        <w:fldChar w:fldCharType="separate"/>
      </w:r>
      <w:r w:rsidRPr="008B43F6">
        <w:rPr>
          <w:rFonts w:cstheme="minorHAnsi"/>
          <w:noProof/>
          <w:color w:val="000000" w:themeColor="text1"/>
        </w:rPr>
        <w:t>[</w:t>
      </w:r>
      <w:hyperlink w:anchor="_ENREF_17" w:tooltip="AEAEE, 2008 #44" w:history="1">
        <w:r w:rsidR="00251C87" w:rsidRPr="008B43F6">
          <w:rPr>
            <w:rFonts w:cstheme="minorHAnsi"/>
            <w:noProof/>
            <w:color w:val="000000" w:themeColor="text1"/>
          </w:rPr>
          <w:t>17</w:t>
        </w:r>
      </w:hyperlink>
      <w:r w:rsidRPr="008B43F6">
        <w:rPr>
          <w:rFonts w:cstheme="minorHAnsi"/>
          <w:noProof/>
          <w:color w:val="000000" w:themeColor="text1"/>
        </w:rPr>
        <w:t>]</w:t>
      </w:r>
      <w:r w:rsidRPr="008B43F6">
        <w:rPr>
          <w:rFonts w:cstheme="minorHAnsi"/>
          <w:color w:val="000000" w:themeColor="text1"/>
        </w:rPr>
        <w:fldChar w:fldCharType="end"/>
      </w:r>
      <w:r w:rsidRPr="008B43F6">
        <w:rPr>
          <w:rFonts w:cstheme="minorHAnsi"/>
          <w:color w:val="000000" w:themeColor="text1"/>
        </w:rPr>
        <w:t>.</w:t>
      </w:r>
    </w:p>
    <w:p w:rsidR="007047A4" w:rsidRPr="008B43F6" w:rsidRDefault="007047A4" w:rsidP="00C12621">
      <w:pPr>
        <w:pStyle w:val="Ttulo2"/>
        <w:jc w:val="both"/>
        <w:rPr>
          <w:rFonts w:asciiTheme="minorHAnsi" w:hAnsiTheme="minorHAnsi"/>
        </w:rPr>
      </w:pPr>
      <w:bookmarkStart w:id="41" w:name="_Toc350874968"/>
      <w:bookmarkStart w:id="42" w:name="_Toc351397580"/>
      <w:r w:rsidRPr="008B43F6">
        <w:rPr>
          <w:rFonts w:asciiTheme="minorHAnsi" w:hAnsiTheme="minorHAnsi"/>
        </w:rPr>
        <w:t>3.4 Política de salud</w:t>
      </w:r>
      <w:bookmarkEnd w:id="41"/>
      <w:bookmarkEnd w:id="42"/>
    </w:p>
    <w:p w:rsidR="00DB46A1" w:rsidRPr="008B43F6" w:rsidRDefault="00DB46A1" w:rsidP="00C12621">
      <w:pPr>
        <w:jc w:val="both"/>
        <w:rPr>
          <w:color w:val="000000" w:themeColor="text1"/>
        </w:rPr>
      </w:pPr>
      <w:r w:rsidRPr="008B43F6">
        <w:rPr>
          <w:color w:val="000000" w:themeColor="text1"/>
        </w:rPr>
        <w:t>En los últimos años estrategias de promoción y prevención para una mejor salud, han buscado disminuir, mediante medidas anticipatorias, e</w:t>
      </w:r>
      <w:r w:rsidR="0021494F" w:rsidRPr="008B43F6">
        <w:rPr>
          <w:color w:val="000000" w:themeColor="text1"/>
        </w:rPr>
        <w:t>l impacto de las enfermedades no transmisibles y las lesiones sobre los individuos, familiar, com</w:t>
      </w:r>
      <w:r w:rsidR="00F45ECC" w:rsidRPr="008B43F6">
        <w:rPr>
          <w:color w:val="000000" w:themeColor="text1"/>
        </w:rPr>
        <w:t xml:space="preserve">unidades y sociedad en conjunto </w:t>
      </w:r>
      <w:r w:rsidR="00F45ECC" w:rsidRPr="008B43F6">
        <w:rPr>
          <w:color w:val="000000" w:themeColor="text1"/>
        </w:rPr>
        <w:fldChar w:fldCharType="begin"/>
      </w:r>
      <w:r w:rsidR="003113E5" w:rsidRPr="008B43F6">
        <w:rPr>
          <w:color w:val="000000" w:themeColor="text1"/>
        </w:rPr>
        <w:instrText xml:space="preserve"> ADDIN EN.CITE &lt;EndNote&gt;&lt;Cite&gt;&lt;Year&gt;2007&lt;/Year&gt;&lt;RecNum&gt;89&lt;/RecNum&gt;&lt;DisplayText&gt;[18]&lt;/DisplayText&gt;&lt;record&gt;&lt;rec-number&gt;89&lt;/rec-number&gt;&lt;foreign-keys&gt;&lt;key app="EN" db-id="w0w9edzzlxxfdgesvf359ft8wzxverspwaav"&gt;89&lt;/key&gt;&lt;/foreign-keys&gt;&lt;ref-type name="Government Document"&gt;46&lt;/ref-type&gt;&lt;contributors&gt;&lt;secondary-authors&gt;&lt;author&gt;Secretaría de Salud&lt;/author&gt;&lt;/secondary-authors&gt;&lt;/contributors&gt;&lt;titles&gt;&lt;title&gt;Programa Nacional de Salud 2007-2012. Por un México sano: construyendo alianzas para una mejor salud&lt;/title&gt;&lt;/titles&gt;&lt;dates&gt;&lt;year&gt;2007&lt;/year&gt;&lt;/dates&gt;&lt;urls&gt;&lt;/urls&gt;&lt;/record&gt;&lt;/Cite&gt;&lt;/EndNote&gt;</w:instrText>
      </w:r>
      <w:r w:rsidR="00F45ECC" w:rsidRPr="008B43F6">
        <w:rPr>
          <w:color w:val="000000" w:themeColor="text1"/>
        </w:rPr>
        <w:fldChar w:fldCharType="separate"/>
      </w:r>
      <w:r w:rsidR="003113E5" w:rsidRPr="008B43F6">
        <w:rPr>
          <w:noProof/>
          <w:color w:val="000000" w:themeColor="text1"/>
        </w:rPr>
        <w:t>[</w:t>
      </w:r>
      <w:hyperlink w:anchor="_ENREF_18" w:tooltip=", 2007 #89" w:history="1">
        <w:r w:rsidR="00251C87" w:rsidRPr="008B43F6">
          <w:rPr>
            <w:noProof/>
            <w:color w:val="000000" w:themeColor="text1"/>
          </w:rPr>
          <w:t>18</w:t>
        </w:r>
      </w:hyperlink>
      <w:r w:rsidR="003113E5" w:rsidRPr="008B43F6">
        <w:rPr>
          <w:noProof/>
          <w:color w:val="000000" w:themeColor="text1"/>
        </w:rPr>
        <w:t>]</w:t>
      </w:r>
      <w:r w:rsidR="00F45ECC" w:rsidRPr="008B43F6">
        <w:rPr>
          <w:color w:val="000000" w:themeColor="text1"/>
        </w:rPr>
        <w:fldChar w:fldCharType="end"/>
      </w:r>
      <w:r w:rsidR="00F45ECC" w:rsidRPr="008B43F6">
        <w:rPr>
          <w:color w:val="000000" w:themeColor="text1"/>
        </w:rPr>
        <w:t>.</w:t>
      </w:r>
    </w:p>
    <w:p w:rsidR="0021494F" w:rsidRPr="008B43F6" w:rsidRDefault="007959D8" w:rsidP="00C12621">
      <w:pPr>
        <w:jc w:val="both"/>
        <w:rPr>
          <w:i/>
          <w:color w:val="000000" w:themeColor="text1"/>
        </w:rPr>
      </w:pPr>
      <w:r w:rsidRPr="008B43F6">
        <w:rPr>
          <w:color w:val="000000" w:themeColor="text1"/>
        </w:rPr>
        <w:t>En la actualidad el Pacto por México</w:t>
      </w:r>
      <w:r w:rsidR="0021494F" w:rsidRPr="008B43F6">
        <w:rPr>
          <w:color w:val="000000" w:themeColor="text1"/>
        </w:rPr>
        <w:t xml:space="preserve"> </w:t>
      </w:r>
      <w:r w:rsidRPr="008B43F6">
        <w:rPr>
          <w:color w:val="000000" w:themeColor="text1"/>
        </w:rPr>
        <w:t>propone</w:t>
      </w:r>
      <w:r w:rsidR="0021494F" w:rsidRPr="008B43F6">
        <w:rPr>
          <w:color w:val="000000" w:themeColor="text1"/>
        </w:rPr>
        <w:t xml:space="preserve"> Seguridad Social Universal</w:t>
      </w:r>
      <w:r w:rsidR="00F45ECC" w:rsidRPr="008B43F6">
        <w:rPr>
          <w:color w:val="000000" w:themeColor="text1"/>
        </w:rPr>
        <w:t xml:space="preserve">, </w:t>
      </w:r>
      <w:r w:rsidR="00580644" w:rsidRPr="008B43F6">
        <w:rPr>
          <w:color w:val="000000" w:themeColor="text1"/>
        </w:rPr>
        <w:t xml:space="preserve">al </w:t>
      </w:r>
      <w:r w:rsidR="00F45ECC" w:rsidRPr="008B43F6">
        <w:rPr>
          <w:color w:val="000000" w:themeColor="text1"/>
        </w:rPr>
        <w:t>establece</w:t>
      </w:r>
      <w:r w:rsidR="00580644" w:rsidRPr="008B43F6">
        <w:rPr>
          <w:color w:val="000000" w:themeColor="text1"/>
        </w:rPr>
        <w:t>r</w:t>
      </w:r>
      <w:r w:rsidR="00F45ECC" w:rsidRPr="008B43F6">
        <w:rPr>
          <w:color w:val="000000" w:themeColor="text1"/>
        </w:rPr>
        <w:t xml:space="preserve"> que</w:t>
      </w:r>
      <w:r w:rsidR="0021494F" w:rsidRPr="008B43F6">
        <w:rPr>
          <w:color w:val="000000" w:themeColor="text1"/>
        </w:rPr>
        <w:t xml:space="preserve"> </w:t>
      </w:r>
      <w:r w:rsidR="0021494F" w:rsidRPr="008B43F6">
        <w:rPr>
          <w:i/>
          <w:color w:val="000000" w:themeColor="text1"/>
        </w:rPr>
        <w:t xml:space="preserve"> “… se creará una red de protección social que garantice el acceso al derecho a la salud y otorgue a cualquier mexicano, independientemente, su condición social o estatus laboral, un conjunto de beneficios sociales procurados  por el Estado…”</w:t>
      </w:r>
      <w:r w:rsidR="00F45ECC" w:rsidRPr="008B43F6">
        <w:rPr>
          <w:i/>
          <w:color w:val="000000" w:themeColor="text1"/>
        </w:rPr>
        <w:t xml:space="preserve"> </w:t>
      </w:r>
      <w:r w:rsidR="00F45ECC" w:rsidRPr="008B43F6">
        <w:rPr>
          <w:i/>
          <w:color w:val="000000" w:themeColor="text1"/>
        </w:rPr>
        <w:fldChar w:fldCharType="begin"/>
      </w:r>
      <w:r w:rsidR="003113E5" w:rsidRPr="008B43F6">
        <w:rPr>
          <w:i/>
          <w:color w:val="000000" w:themeColor="text1"/>
        </w:rPr>
        <w:instrText xml:space="preserve"> ADDIN EN.CITE &lt;EndNote&gt;&lt;Cite&gt;&lt;Year&gt;2012&lt;/Year&gt;&lt;RecNum&gt;84&lt;/RecNum&gt;&lt;DisplayText&gt;[16]&lt;/DisplayText&gt;&lt;record&gt;&lt;rec-number&gt;84&lt;/rec-number&gt;&lt;foreign-keys&gt;&lt;key app="EN" db-id="w0w9edzzlxxfdgesvf359ft8wzxverspwaav"&gt;84&lt;/key&gt;&lt;/foreign-keys&gt;&lt;ref-type name="Journal Article"&gt;17&lt;/ref-type&gt;&lt;contributors&gt;&lt;/contributors&gt;&lt;titles&gt;&lt;title&gt;Pacto por México&lt;/title&gt;&lt;/titles&gt;&lt;dates&gt;&lt;year&gt;2012&lt;/year&gt;&lt;/dates&gt;&lt;urls&gt;&lt;related-urls&gt;&lt;url&gt;http://www.presidencia.gob.mx/wp-content/uploads/2012/12/Pacto-Por-M%C3%A9xico-TODOS-los-acuerdos.pdf&lt;/url&gt;&lt;/related-urls&gt;&lt;/urls&gt;&lt;/record&gt;&lt;/Cite&gt;&lt;/EndNote&gt;</w:instrText>
      </w:r>
      <w:r w:rsidR="00F45ECC" w:rsidRPr="008B43F6">
        <w:rPr>
          <w:i/>
          <w:color w:val="000000" w:themeColor="text1"/>
        </w:rPr>
        <w:fldChar w:fldCharType="separate"/>
      </w:r>
      <w:r w:rsidR="003113E5" w:rsidRPr="008B43F6">
        <w:rPr>
          <w:i/>
          <w:noProof/>
          <w:color w:val="000000" w:themeColor="text1"/>
        </w:rPr>
        <w:t>[</w:t>
      </w:r>
      <w:hyperlink w:anchor="_ENREF_16" w:tooltip=", 2012 #84" w:history="1">
        <w:r w:rsidR="00251C87" w:rsidRPr="008B43F6">
          <w:rPr>
            <w:i/>
            <w:noProof/>
            <w:color w:val="000000" w:themeColor="text1"/>
          </w:rPr>
          <w:t>16</w:t>
        </w:r>
      </w:hyperlink>
      <w:r w:rsidR="003113E5" w:rsidRPr="008B43F6">
        <w:rPr>
          <w:i/>
          <w:noProof/>
          <w:color w:val="000000" w:themeColor="text1"/>
        </w:rPr>
        <w:t>]</w:t>
      </w:r>
      <w:r w:rsidR="00F45ECC" w:rsidRPr="008B43F6">
        <w:rPr>
          <w:i/>
          <w:color w:val="000000" w:themeColor="text1"/>
        </w:rPr>
        <w:fldChar w:fldCharType="end"/>
      </w:r>
      <w:r w:rsidR="00F45ECC" w:rsidRPr="008B43F6">
        <w:rPr>
          <w:i/>
          <w:color w:val="000000" w:themeColor="text1"/>
        </w:rPr>
        <w:t>.</w:t>
      </w:r>
    </w:p>
    <w:p w:rsidR="007047A4" w:rsidRPr="008B43F6" w:rsidRDefault="007047A4" w:rsidP="00C12621">
      <w:pPr>
        <w:pStyle w:val="Ttulo2"/>
        <w:jc w:val="both"/>
        <w:rPr>
          <w:rFonts w:asciiTheme="minorHAnsi" w:hAnsiTheme="minorHAnsi"/>
        </w:rPr>
      </w:pPr>
      <w:bookmarkStart w:id="43" w:name="_Toc350874969"/>
      <w:bookmarkStart w:id="44" w:name="_Toc351397581"/>
      <w:r w:rsidRPr="008B43F6">
        <w:rPr>
          <w:rFonts w:asciiTheme="minorHAnsi" w:hAnsiTheme="minorHAnsi"/>
        </w:rPr>
        <w:t>3.5 Política económica</w:t>
      </w:r>
      <w:bookmarkEnd w:id="43"/>
      <w:bookmarkEnd w:id="44"/>
    </w:p>
    <w:p w:rsidR="00BE19EB" w:rsidRPr="008B43F6" w:rsidRDefault="00773BFA" w:rsidP="00C12621">
      <w:pPr>
        <w:jc w:val="both"/>
        <w:rPr>
          <w:color w:val="000000" w:themeColor="text1"/>
        </w:rPr>
      </w:pPr>
      <w:r w:rsidRPr="008B43F6">
        <w:rPr>
          <w:color w:val="000000" w:themeColor="text1"/>
        </w:rPr>
        <w:t>L</w:t>
      </w:r>
      <w:r w:rsidR="00BE19EB" w:rsidRPr="008B43F6">
        <w:rPr>
          <w:color w:val="000000" w:themeColor="text1"/>
        </w:rPr>
        <w:t>a política económica</w:t>
      </w:r>
      <w:r w:rsidRPr="008B43F6">
        <w:rPr>
          <w:color w:val="000000" w:themeColor="text1"/>
        </w:rPr>
        <w:t xml:space="preserve"> actual</w:t>
      </w:r>
      <w:r w:rsidR="00BE19EB" w:rsidRPr="008B43F6">
        <w:rPr>
          <w:color w:val="000000" w:themeColor="text1"/>
        </w:rPr>
        <w:t xml:space="preserve"> tiene como estrategias</w:t>
      </w:r>
      <w:r w:rsidR="00F45ECC" w:rsidRPr="008B43F6">
        <w:rPr>
          <w:color w:val="000000" w:themeColor="text1"/>
        </w:rPr>
        <w:t xml:space="preserve"> </w:t>
      </w:r>
      <w:r w:rsidR="00F45ECC" w:rsidRPr="008B43F6">
        <w:rPr>
          <w:color w:val="000000" w:themeColor="text1"/>
        </w:rPr>
        <w:fldChar w:fldCharType="begin"/>
      </w:r>
      <w:r w:rsidR="003113E5" w:rsidRPr="008B43F6">
        <w:rPr>
          <w:color w:val="000000" w:themeColor="text1"/>
        </w:rPr>
        <w:instrText xml:space="preserve"> ADDIN EN.CITE &lt;EndNote&gt;&lt;Cite&gt;&lt;Year&gt;2012&lt;/Year&gt;&lt;RecNum&gt;84&lt;/RecNum&gt;&lt;DisplayText&gt;[16]&lt;/DisplayText&gt;&lt;record&gt;&lt;rec-number&gt;84&lt;/rec-number&gt;&lt;foreign-keys&gt;&lt;key app="EN" db-id="w0w9edzzlxxfdgesvf359ft8wzxverspwaav"&gt;84&lt;/key&gt;&lt;/foreign-keys&gt;&lt;ref-type name="Journal Article"&gt;17&lt;/ref-type&gt;&lt;contributors&gt;&lt;/contributors&gt;&lt;titles&gt;&lt;title&gt;Pacto por México&lt;/title&gt;&lt;/titles&gt;&lt;dates&gt;&lt;year&gt;2012&lt;/year&gt;&lt;/dates&gt;&lt;urls&gt;&lt;related-urls&gt;&lt;url&gt;http://www.presidencia.gob.mx/wp-content/uploads/2012/12/Pacto-Por-M%C3%A9xico-TODOS-los-acuerdos.pdf&lt;/url&gt;&lt;/related-urls&gt;&lt;/urls&gt;&lt;/record&gt;&lt;/Cite&gt;&lt;/EndNote&gt;</w:instrText>
      </w:r>
      <w:r w:rsidR="00F45ECC" w:rsidRPr="008B43F6">
        <w:rPr>
          <w:color w:val="000000" w:themeColor="text1"/>
        </w:rPr>
        <w:fldChar w:fldCharType="separate"/>
      </w:r>
      <w:r w:rsidR="003113E5" w:rsidRPr="008B43F6">
        <w:rPr>
          <w:noProof/>
          <w:color w:val="000000" w:themeColor="text1"/>
        </w:rPr>
        <w:t>[</w:t>
      </w:r>
      <w:hyperlink w:anchor="_ENREF_16" w:tooltip=", 2012 #84" w:history="1">
        <w:r w:rsidR="00251C87" w:rsidRPr="008B43F6">
          <w:rPr>
            <w:noProof/>
            <w:color w:val="000000" w:themeColor="text1"/>
          </w:rPr>
          <w:t>16</w:t>
        </w:r>
      </w:hyperlink>
      <w:r w:rsidR="003113E5" w:rsidRPr="008B43F6">
        <w:rPr>
          <w:noProof/>
          <w:color w:val="000000" w:themeColor="text1"/>
        </w:rPr>
        <w:t>]</w:t>
      </w:r>
      <w:r w:rsidR="00F45ECC" w:rsidRPr="008B43F6">
        <w:rPr>
          <w:color w:val="000000" w:themeColor="text1"/>
        </w:rPr>
        <w:fldChar w:fldCharType="end"/>
      </w:r>
      <w:r w:rsidR="00BE19EB" w:rsidRPr="008B43F6">
        <w:rPr>
          <w:color w:val="000000" w:themeColor="text1"/>
        </w:rPr>
        <w:t xml:space="preserve">: </w:t>
      </w:r>
    </w:p>
    <w:p w:rsidR="00BE19EB" w:rsidRPr="008B43F6" w:rsidRDefault="00BE19EB" w:rsidP="00C12621">
      <w:pPr>
        <w:pStyle w:val="Prrafodelista"/>
        <w:numPr>
          <w:ilvl w:val="0"/>
          <w:numId w:val="3"/>
        </w:numPr>
        <w:jc w:val="both"/>
        <w:rPr>
          <w:color w:val="000000" w:themeColor="text1"/>
        </w:rPr>
      </w:pPr>
      <w:r w:rsidRPr="008B43F6">
        <w:rPr>
          <w:color w:val="000000" w:themeColor="text1"/>
        </w:rPr>
        <w:t>Acuerdos para el crecimiento económico, el empleo y la competitividad, en donde se expresa que el mejor instrumento para acabar con la pobreza es el empleo.</w:t>
      </w:r>
    </w:p>
    <w:p w:rsidR="00BE19EB" w:rsidRPr="008B43F6" w:rsidRDefault="00BE19EB" w:rsidP="00C12621">
      <w:pPr>
        <w:pStyle w:val="Prrafodelista"/>
        <w:numPr>
          <w:ilvl w:val="0"/>
          <w:numId w:val="3"/>
        </w:numPr>
        <w:jc w:val="both"/>
        <w:rPr>
          <w:color w:val="000000" w:themeColor="text1"/>
        </w:rPr>
      </w:pPr>
      <w:r w:rsidRPr="008B43F6">
        <w:rPr>
          <w:color w:val="000000" w:themeColor="text1"/>
        </w:rPr>
        <w:t>Extender los beneficios de una economía formada por mercados competidos, con especial énfasis en sectores como telecomunicaciones, transporte, servicios financieros y energía.</w:t>
      </w:r>
    </w:p>
    <w:p w:rsidR="00BE19EB" w:rsidRPr="008B43F6" w:rsidRDefault="00BE19EB" w:rsidP="00C12621">
      <w:pPr>
        <w:pStyle w:val="Prrafodelista"/>
        <w:numPr>
          <w:ilvl w:val="0"/>
          <w:numId w:val="3"/>
        </w:numPr>
        <w:jc w:val="both"/>
        <w:rPr>
          <w:color w:val="000000" w:themeColor="text1"/>
        </w:rPr>
      </w:pPr>
      <w:r w:rsidRPr="008B43F6">
        <w:rPr>
          <w:color w:val="000000" w:themeColor="text1"/>
        </w:rPr>
        <w:t xml:space="preserve">Promover el desarrollo a través de la </w:t>
      </w:r>
      <w:r w:rsidR="00580644" w:rsidRPr="008B43F6">
        <w:rPr>
          <w:color w:val="000000" w:themeColor="text1"/>
        </w:rPr>
        <w:t>c</w:t>
      </w:r>
      <w:r w:rsidRPr="008B43F6">
        <w:rPr>
          <w:color w:val="000000" w:themeColor="text1"/>
        </w:rPr>
        <w:t xml:space="preserve">iencia, la </w:t>
      </w:r>
      <w:r w:rsidR="00580644" w:rsidRPr="008B43F6">
        <w:rPr>
          <w:color w:val="000000" w:themeColor="text1"/>
        </w:rPr>
        <w:t>t</w:t>
      </w:r>
      <w:r w:rsidRPr="008B43F6">
        <w:rPr>
          <w:color w:val="000000" w:themeColor="text1"/>
        </w:rPr>
        <w:t xml:space="preserve">ecnología y la </w:t>
      </w:r>
      <w:r w:rsidR="00580644" w:rsidRPr="008B43F6">
        <w:rPr>
          <w:color w:val="000000" w:themeColor="text1"/>
        </w:rPr>
        <w:t>i</w:t>
      </w:r>
      <w:r w:rsidRPr="008B43F6">
        <w:rPr>
          <w:color w:val="000000" w:themeColor="text1"/>
        </w:rPr>
        <w:t>nnovación, teniendo como objetivo principal que México, además de ser una potencia manufacturera, se convierta en una economía del conocimiento.</w:t>
      </w:r>
    </w:p>
    <w:p w:rsidR="00BE19EB" w:rsidRPr="008B43F6" w:rsidRDefault="00F2354C" w:rsidP="00C12621">
      <w:pPr>
        <w:pStyle w:val="Prrafodelista"/>
        <w:numPr>
          <w:ilvl w:val="0"/>
          <w:numId w:val="3"/>
        </w:numPr>
        <w:jc w:val="both"/>
        <w:rPr>
          <w:color w:val="000000" w:themeColor="text1"/>
        </w:rPr>
      </w:pPr>
      <w:r w:rsidRPr="008B43F6">
        <w:rPr>
          <w:color w:val="000000" w:themeColor="text1"/>
        </w:rPr>
        <w:t>Transitar hacia una economía baja en carbono.</w:t>
      </w:r>
    </w:p>
    <w:p w:rsidR="00AD2ACA" w:rsidRPr="008B43F6" w:rsidRDefault="00F2354C" w:rsidP="00C12621">
      <w:pPr>
        <w:pStyle w:val="Prrafodelista"/>
        <w:numPr>
          <w:ilvl w:val="0"/>
          <w:numId w:val="3"/>
        </w:numPr>
        <w:jc w:val="both"/>
        <w:rPr>
          <w:color w:val="000000" w:themeColor="text1"/>
        </w:rPr>
      </w:pPr>
      <w:r w:rsidRPr="008B43F6">
        <w:rPr>
          <w:color w:val="000000" w:themeColor="text1"/>
        </w:rPr>
        <w:t>Realizar una reforma energética que sea motor de inversión y desarrollo; en particular se busca que el sector energético sea uno de los más poderosos motores del crecimiento económico a través de inversión, desarrollo tecnológico y la formación de cadenas de valor</w:t>
      </w:r>
      <w:r w:rsidR="00F45ECC" w:rsidRPr="008B43F6">
        <w:rPr>
          <w:color w:val="000000" w:themeColor="text1"/>
        </w:rPr>
        <w:t>.</w:t>
      </w:r>
    </w:p>
    <w:p w:rsidR="008B6262" w:rsidRPr="008B43F6" w:rsidRDefault="008B6262" w:rsidP="00C12621">
      <w:pPr>
        <w:jc w:val="both"/>
        <w:rPr>
          <w:color w:val="000000" w:themeColor="text1"/>
        </w:rPr>
      </w:pPr>
      <w:r w:rsidRPr="008B43F6">
        <w:lastRenderedPageBreak/>
        <w:t>Todo lo anterior refleja con claridad un número significativo de coincidencias entre el desarrollo de viviendas sustentables y  políticas orientadas a otros aspectos de la actividad económica y social.</w:t>
      </w:r>
    </w:p>
    <w:p w:rsidR="008B6262" w:rsidRPr="008B43F6" w:rsidRDefault="008B6262" w:rsidP="00C12621">
      <w:pPr>
        <w:jc w:val="both"/>
        <w:rPr>
          <w:color w:val="1F497D" w:themeColor="text2"/>
        </w:rPr>
      </w:pPr>
    </w:p>
    <w:p w:rsidR="00D877C2" w:rsidRPr="008B43F6" w:rsidRDefault="00D877C2" w:rsidP="00C12621">
      <w:pPr>
        <w:pStyle w:val="Ttulo1"/>
        <w:numPr>
          <w:ilvl w:val="0"/>
          <w:numId w:val="18"/>
        </w:numPr>
        <w:jc w:val="both"/>
        <w:rPr>
          <w:rFonts w:asciiTheme="minorHAnsi" w:hAnsiTheme="minorHAnsi"/>
        </w:rPr>
      </w:pPr>
      <w:bookmarkStart w:id="45" w:name="_Toc350212870"/>
      <w:bookmarkStart w:id="46" w:name="_Toc350874970"/>
      <w:bookmarkStart w:id="47" w:name="_Toc351397582"/>
      <w:r w:rsidRPr="008B43F6">
        <w:rPr>
          <w:rFonts w:asciiTheme="minorHAnsi" w:hAnsiTheme="minorHAnsi"/>
        </w:rPr>
        <w:t>Información de referencia para la definición cuantitativa de co-beneficios</w:t>
      </w:r>
      <w:bookmarkEnd w:id="45"/>
      <w:bookmarkEnd w:id="46"/>
      <w:bookmarkEnd w:id="47"/>
    </w:p>
    <w:p w:rsidR="00D877C2" w:rsidRPr="008B43F6" w:rsidRDefault="00D877C2" w:rsidP="00C12621">
      <w:pPr>
        <w:jc w:val="both"/>
      </w:pPr>
    </w:p>
    <w:p w:rsidR="00D877C2" w:rsidRPr="008B43F6" w:rsidRDefault="00D877C2" w:rsidP="00C12621">
      <w:pPr>
        <w:jc w:val="both"/>
      </w:pPr>
      <w:r w:rsidRPr="008B43F6">
        <w:t xml:space="preserve">En esta sección se presenta la información tomada en cuenta para construir los </w:t>
      </w:r>
      <w:r w:rsidR="00580644" w:rsidRPr="008B43F6">
        <w:t>e</w:t>
      </w:r>
      <w:r w:rsidR="00BF0BE8" w:rsidRPr="008B43F6">
        <w:t>scenario</w:t>
      </w:r>
      <w:r w:rsidRPr="008B43F6">
        <w:t>s de un programa de vivienda energéticamente eficiente y calcular los co-beneficios de cada uno.</w:t>
      </w:r>
    </w:p>
    <w:p w:rsidR="005C7E01" w:rsidRPr="008B43F6" w:rsidRDefault="001A074C" w:rsidP="00C12621">
      <w:pPr>
        <w:pStyle w:val="Ttulo2"/>
        <w:jc w:val="both"/>
        <w:rPr>
          <w:rFonts w:asciiTheme="minorHAnsi" w:hAnsiTheme="minorHAnsi"/>
        </w:rPr>
      </w:pPr>
      <w:bookmarkStart w:id="48" w:name="_Toc350874971"/>
      <w:bookmarkStart w:id="49" w:name="_Toc351397583"/>
      <w:r w:rsidRPr="008B43F6">
        <w:rPr>
          <w:rFonts w:asciiTheme="minorHAnsi" w:hAnsiTheme="minorHAnsi"/>
        </w:rPr>
        <w:t xml:space="preserve">4.1 </w:t>
      </w:r>
      <w:r w:rsidR="005C7E01" w:rsidRPr="008B43F6">
        <w:rPr>
          <w:rFonts w:asciiTheme="minorHAnsi" w:hAnsiTheme="minorHAnsi"/>
        </w:rPr>
        <w:t>Vivienda</w:t>
      </w:r>
      <w:bookmarkEnd w:id="48"/>
      <w:bookmarkEnd w:id="49"/>
    </w:p>
    <w:p w:rsidR="005C7E01" w:rsidRPr="008B43F6" w:rsidRDefault="001A074C" w:rsidP="00C12621">
      <w:pPr>
        <w:pStyle w:val="Ttulo3"/>
        <w:jc w:val="both"/>
        <w:rPr>
          <w:rFonts w:asciiTheme="minorHAnsi" w:hAnsiTheme="minorHAnsi"/>
        </w:rPr>
      </w:pPr>
      <w:bookmarkStart w:id="50" w:name="_Toc350874972"/>
      <w:bookmarkStart w:id="51" w:name="_Toc351397584"/>
      <w:r w:rsidRPr="008B43F6">
        <w:rPr>
          <w:rFonts w:asciiTheme="minorHAnsi" w:hAnsiTheme="minorHAnsi"/>
        </w:rPr>
        <w:t xml:space="preserve">4.1.1 </w:t>
      </w:r>
      <w:r w:rsidR="005C7E01" w:rsidRPr="008B43F6">
        <w:rPr>
          <w:rFonts w:asciiTheme="minorHAnsi" w:hAnsiTheme="minorHAnsi"/>
        </w:rPr>
        <w:t>Tamaño</w:t>
      </w:r>
      <w:bookmarkEnd w:id="50"/>
      <w:bookmarkEnd w:id="51"/>
    </w:p>
    <w:p w:rsidR="00363264" w:rsidRPr="008B43F6" w:rsidRDefault="00363264" w:rsidP="00C12621">
      <w:pPr>
        <w:jc w:val="both"/>
      </w:pPr>
      <w:r w:rsidRPr="008B43F6">
        <w:t>México cuenta con 28.61 millones de viviendas particulares habitadas</w:t>
      </w:r>
      <w:r w:rsidR="00580644" w:rsidRPr="008B43F6">
        <w:t>,</w:t>
      </w:r>
      <w:r w:rsidRPr="008B43F6">
        <w:t xml:space="preserve"> de las cuales el 92% son casa</w:t>
      </w:r>
      <w:r w:rsidR="00CA0A42" w:rsidRPr="008B43F6">
        <w:t>s</w:t>
      </w:r>
      <w:r w:rsidRPr="008B43F6">
        <w:t xml:space="preserve"> independientes, 5% departamentos en edificio, 2% viviendas en vecindad, 0.06% viviendas en azotea y el 0.6%  son viviendas no especificadas teniendo como promedio por hogar 3.9 personas</w:t>
      </w:r>
      <w:r w:rsidR="00A87095" w:rsidRPr="008B43F6">
        <w:t xml:space="preserve"> </w:t>
      </w:r>
      <w:r w:rsidR="00580644" w:rsidRPr="008B43F6">
        <w:t>(</w:t>
      </w:r>
      <w:r w:rsidR="00176AC8" w:rsidRPr="008B43F6">
        <w:t>Figura</w:t>
      </w:r>
      <w:r w:rsidR="00580644" w:rsidRPr="008B43F6">
        <w:t xml:space="preserve">  4.1) </w:t>
      </w:r>
      <w:r w:rsidR="00A87095" w:rsidRPr="008B43F6">
        <w:fldChar w:fldCharType="begin"/>
      </w:r>
      <w:r w:rsidR="003113E5" w:rsidRPr="008B43F6">
        <w:instrText xml:space="preserve"> ADDIN EN.CITE &lt;EndNote&gt;&lt;Cite&gt;&lt;Author&gt;INEGI&lt;/Author&gt;&lt;Year&gt;2011&lt;/Year&gt;&lt;RecNum&gt;85&lt;/RecNum&gt;&lt;DisplayText&gt;[19]&lt;/DisplayText&gt;&lt;record&gt;&lt;rec-number&gt;85&lt;/rec-number&gt;&lt;foreign-keys&gt;&lt;key app="EN" db-id="w0w9edzzlxxfdgesvf359ft8wzxverspwaav"&gt;85&lt;/key&gt;&lt;/foreign-keys&gt;&lt;ref-type name="Government Document"&gt;46&lt;/ref-type&gt;&lt;contributors&gt;&lt;authors&gt;&lt;author&gt;INEGI&lt;/author&gt;&lt;/authors&gt;&lt;/contributors&gt;&lt;titles&gt;&lt;title&gt;Censo de Población y Vivienda 2010&lt;/title&gt;&lt;/titles&gt;&lt;dates&gt;&lt;year&gt;2011&lt;/year&gt;&lt;/dates&gt;&lt;pub-location&gt;Aguascalientes, México&lt;/pub-location&gt;&lt;urls&gt;&lt;/urls&gt;&lt;/record&gt;&lt;/Cite&gt;&lt;/EndNote&gt;</w:instrText>
      </w:r>
      <w:r w:rsidR="00A87095" w:rsidRPr="008B43F6">
        <w:fldChar w:fldCharType="separate"/>
      </w:r>
      <w:r w:rsidR="003113E5" w:rsidRPr="008B43F6">
        <w:rPr>
          <w:noProof/>
        </w:rPr>
        <w:t>[</w:t>
      </w:r>
      <w:hyperlink w:anchor="_ENREF_19" w:tooltip="INEGI, 2011 #85" w:history="1">
        <w:r w:rsidR="00251C87" w:rsidRPr="008B43F6">
          <w:rPr>
            <w:noProof/>
          </w:rPr>
          <w:t>19</w:t>
        </w:r>
      </w:hyperlink>
      <w:r w:rsidR="003113E5" w:rsidRPr="008B43F6">
        <w:rPr>
          <w:noProof/>
        </w:rPr>
        <w:t>]</w:t>
      </w:r>
      <w:r w:rsidR="00A87095" w:rsidRPr="008B43F6">
        <w:fldChar w:fldCharType="end"/>
      </w:r>
      <w:r w:rsidR="00D139D2" w:rsidRPr="008B43F6">
        <w:t>.</w:t>
      </w:r>
    </w:p>
    <w:p w:rsidR="00B32C19" w:rsidRPr="008B43F6" w:rsidRDefault="00176AC8" w:rsidP="00C12621">
      <w:pPr>
        <w:spacing w:after="0"/>
        <w:jc w:val="both"/>
        <w:rPr>
          <w:b/>
          <w:sz w:val="18"/>
          <w:szCs w:val="18"/>
        </w:rPr>
      </w:pPr>
      <w:r w:rsidRPr="008B43F6">
        <w:rPr>
          <w:b/>
          <w:sz w:val="18"/>
          <w:szCs w:val="18"/>
        </w:rPr>
        <w:t>Figura</w:t>
      </w:r>
      <w:r w:rsidR="00B32C19" w:rsidRPr="008B43F6">
        <w:rPr>
          <w:b/>
          <w:sz w:val="18"/>
          <w:szCs w:val="18"/>
        </w:rPr>
        <w:t xml:space="preserve"> </w:t>
      </w:r>
      <w:r w:rsidR="00CA4EF0" w:rsidRPr="008B43F6">
        <w:rPr>
          <w:b/>
          <w:sz w:val="18"/>
          <w:szCs w:val="18"/>
        </w:rPr>
        <w:t>4.1</w:t>
      </w:r>
      <w:r w:rsidR="00B32C19" w:rsidRPr="008B43F6">
        <w:rPr>
          <w:b/>
          <w:sz w:val="18"/>
          <w:szCs w:val="18"/>
        </w:rPr>
        <w:t xml:space="preserve"> </w:t>
      </w:r>
      <w:r w:rsidR="00B32C19" w:rsidRPr="008B43F6">
        <w:rPr>
          <w:sz w:val="18"/>
          <w:szCs w:val="18"/>
        </w:rPr>
        <w:t>Viviendas particulares habitadas en México</w:t>
      </w:r>
    </w:p>
    <w:p w:rsidR="002A29B6" w:rsidRPr="008B43F6" w:rsidRDefault="002A29B6" w:rsidP="00C12621">
      <w:pPr>
        <w:spacing w:after="0"/>
        <w:jc w:val="both"/>
        <w:rPr>
          <w:b/>
          <w:sz w:val="18"/>
          <w:szCs w:val="18"/>
        </w:rPr>
      </w:pPr>
      <w:r w:rsidRPr="008B43F6">
        <w:rPr>
          <w:noProof/>
          <w:sz w:val="18"/>
          <w:szCs w:val="18"/>
          <w:lang w:eastAsia="es-MX"/>
        </w:rPr>
        <w:drawing>
          <wp:inline distT="0" distB="0" distL="0" distR="0" wp14:anchorId="691B14EC" wp14:editId="4EFE9460">
            <wp:extent cx="3455910" cy="21600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55910" cy="2160000"/>
                    </a:xfrm>
                    <a:prstGeom prst="rect">
                      <a:avLst/>
                    </a:prstGeom>
                    <a:noFill/>
                    <a:ln>
                      <a:noFill/>
                    </a:ln>
                  </pic:spPr>
                </pic:pic>
              </a:graphicData>
            </a:graphic>
          </wp:inline>
        </w:drawing>
      </w:r>
    </w:p>
    <w:p w:rsidR="00392837" w:rsidRPr="008B43F6" w:rsidRDefault="00392837" w:rsidP="00C12621">
      <w:pPr>
        <w:spacing w:after="0"/>
        <w:jc w:val="both"/>
        <w:rPr>
          <w:b/>
          <w:sz w:val="18"/>
          <w:szCs w:val="18"/>
        </w:rPr>
      </w:pPr>
    </w:p>
    <w:p w:rsidR="00392837" w:rsidRPr="008B43F6" w:rsidRDefault="00392837" w:rsidP="00C12621">
      <w:pPr>
        <w:spacing w:after="0"/>
        <w:jc w:val="both"/>
        <w:rPr>
          <w:rFonts w:cs="Arial"/>
          <w:sz w:val="18"/>
          <w:szCs w:val="18"/>
        </w:rPr>
      </w:pPr>
      <w:r w:rsidRPr="008B43F6">
        <w:rPr>
          <w:rFonts w:cs="Arial"/>
          <w:b/>
          <w:sz w:val="18"/>
          <w:szCs w:val="18"/>
        </w:rPr>
        <w:t>Fuente:</w:t>
      </w:r>
      <w:r w:rsidRPr="008B43F6">
        <w:rPr>
          <w:rFonts w:cs="Arial"/>
          <w:sz w:val="18"/>
          <w:szCs w:val="18"/>
        </w:rPr>
        <w:t xml:space="preserve"> Elaboración propia con datos de INEGI “Censo de población y vivienda, 2010” México, 2011.</w:t>
      </w:r>
    </w:p>
    <w:p w:rsidR="00392837" w:rsidRPr="008B43F6" w:rsidRDefault="00392837" w:rsidP="00C12621">
      <w:pPr>
        <w:pStyle w:val="Ttulo3"/>
        <w:jc w:val="both"/>
        <w:rPr>
          <w:rFonts w:asciiTheme="minorHAnsi" w:hAnsiTheme="minorHAnsi"/>
        </w:rPr>
      </w:pPr>
    </w:p>
    <w:p w:rsidR="00363264" w:rsidRPr="008B43F6" w:rsidRDefault="001A074C" w:rsidP="00C12621">
      <w:pPr>
        <w:pStyle w:val="Ttulo3"/>
        <w:jc w:val="both"/>
        <w:rPr>
          <w:rFonts w:asciiTheme="minorHAnsi" w:hAnsiTheme="minorHAnsi"/>
        </w:rPr>
      </w:pPr>
      <w:bookmarkStart w:id="52" w:name="_Toc350874973"/>
      <w:bookmarkStart w:id="53" w:name="_Toc351397585"/>
      <w:r w:rsidRPr="008B43F6">
        <w:rPr>
          <w:rFonts w:asciiTheme="minorHAnsi" w:hAnsiTheme="minorHAnsi"/>
        </w:rPr>
        <w:t xml:space="preserve">4.1.2 </w:t>
      </w:r>
      <w:r w:rsidR="005C7E01" w:rsidRPr="008B43F6">
        <w:rPr>
          <w:rFonts w:asciiTheme="minorHAnsi" w:hAnsiTheme="minorHAnsi"/>
        </w:rPr>
        <w:t>Tendencias</w:t>
      </w:r>
      <w:bookmarkEnd w:id="52"/>
      <w:bookmarkEnd w:id="53"/>
    </w:p>
    <w:p w:rsidR="00894878" w:rsidRPr="008B43F6" w:rsidRDefault="0030540F" w:rsidP="00C12621">
      <w:pPr>
        <w:jc w:val="both"/>
      </w:pPr>
      <w:r w:rsidRPr="008B43F6">
        <w:t>E</w:t>
      </w:r>
      <w:r w:rsidR="00392837" w:rsidRPr="008B43F6">
        <w:t xml:space="preserve">n los últimos </w:t>
      </w:r>
      <w:r w:rsidR="00A14C03" w:rsidRPr="008B43F6">
        <w:t>10 años</w:t>
      </w:r>
      <w:r w:rsidRPr="008B43F6">
        <w:t xml:space="preserve"> las tasas medias de crecimiento anual para población y vivienda fueron 1.43% y 2.69% respectivamente </w:t>
      </w:r>
      <w:r w:rsidRPr="008B43F6">
        <w:fldChar w:fldCharType="begin"/>
      </w:r>
      <w:r w:rsidR="003113E5" w:rsidRPr="008B43F6">
        <w:instrText xml:space="preserve"> ADDIN EN.CITE &lt;EndNote&gt;&lt;Cite&gt;&lt;Author&gt;INEGI&lt;/Author&gt;&lt;Year&gt;2011&lt;/Year&gt;&lt;RecNum&gt;85&lt;/RecNum&gt;&lt;DisplayText&gt;[4, 19]&lt;/DisplayText&gt;&lt;record&gt;&lt;rec-number&gt;85&lt;/rec-number&gt;&lt;foreign-keys&gt;&lt;key app="EN" db-id="w0w9edzzlxxfdgesvf359ft8wzxverspwaav"&gt;85&lt;/key&gt;&lt;/foreign-keys&gt;&lt;ref-type name="Government Document"&gt;46&lt;/ref-type&gt;&lt;contributors&gt;&lt;authors&gt;&lt;author&gt;INEGI&lt;/author&gt;&lt;/authors&gt;&lt;/contributors&gt;&lt;titles&gt;&lt;title&gt;Censo de Población y Vivienda 2010&lt;/title&gt;&lt;/titles&gt;&lt;dates&gt;&lt;year&gt;2011&lt;/year&gt;&lt;/dates&gt;&lt;pub-location&gt;Aguascalientes, México&lt;/pub-location&gt;&lt;urls&gt;&lt;/urls&gt;&lt;/record&gt;&lt;/Cite&gt;&lt;Cite&gt;&lt;RecNum&gt;86&lt;/RecNum&gt;&lt;record&gt;&lt;rec-number&gt;86&lt;/rec-number&gt;&lt;foreign-keys&gt;&lt;key app="EN" db-id="w0w9edzzlxxfdgesvf359ft8wzxverspwaav"&gt;86&lt;/key&gt;&lt;/foreign-keys&gt;&lt;ref-type name="Web Page"&gt;12&lt;/ref-type&gt;&lt;contributors&gt;&lt;/contributors&gt;&lt;titles&gt;&lt;title&gt;Consejo Nacional de Población&lt;/title&gt;&lt;/titles&gt;&lt;dates&gt;&lt;/dates&gt;&lt;urls&gt;&lt;related-urls&gt;&lt;url&gt;http://www.conapo.gob.mx/&lt;/url&gt;&lt;/related-urls&gt;&lt;/urls&gt;&lt;/record&gt;&lt;/Cite&gt;&lt;/EndNote&gt;</w:instrText>
      </w:r>
      <w:r w:rsidRPr="008B43F6">
        <w:fldChar w:fldCharType="separate"/>
      </w:r>
      <w:r w:rsidR="003113E5" w:rsidRPr="008B43F6">
        <w:rPr>
          <w:noProof/>
        </w:rPr>
        <w:t>[</w:t>
      </w:r>
      <w:hyperlink w:anchor="_ENREF_4" w:tooltip=",  #86" w:history="1">
        <w:r w:rsidR="00251C87" w:rsidRPr="008B43F6">
          <w:rPr>
            <w:noProof/>
          </w:rPr>
          <w:t>4</w:t>
        </w:r>
      </w:hyperlink>
      <w:r w:rsidR="003113E5" w:rsidRPr="008B43F6">
        <w:rPr>
          <w:noProof/>
        </w:rPr>
        <w:t xml:space="preserve">, </w:t>
      </w:r>
      <w:hyperlink w:anchor="_ENREF_19" w:tooltip="INEGI, 2011 #85" w:history="1">
        <w:r w:rsidR="00251C87" w:rsidRPr="008B43F6">
          <w:rPr>
            <w:noProof/>
          </w:rPr>
          <w:t>19</w:t>
        </w:r>
      </w:hyperlink>
      <w:r w:rsidR="003113E5" w:rsidRPr="008B43F6">
        <w:rPr>
          <w:noProof/>
        </w:rPr>
        <w:t>]</w:t>
      </w:r>
      <w:r w:rsidRPr="008B43F6">
        <w:fldChar w:fldCharType="end"/>
      </w:r>
      <w:r w:rsidRPr="008B43F6">
        <w:t xml:space="preserve">. </w:t>
      </w:r>
      <w:r w:rsidR="00131B1C" w:rsidRPr="008B43F6">
        <w:t>L</w:t>
      </w:r>
      <w:r w:rsidR="00A14C03" w:rsidRPr="008B43F6">
        <w:t>a vivienda en México al 2020 llegará a 37.3 millones</w:t>
      </w:r>
      <w:r w:rsidR="00B32C19" w:rsidRPr="008B43F6">
        <w:t xml:space="preserve"> </w:t>
      </w:r>
      <w:r w:rsidR="00CA0A42" w:rsidRPr="008B43F6">
        <w:t xml:space="preserve">con </w:t>
      </w:r>
      <w:r w:rsidR="00A14C03" w:rsidRPr="008B43F6">
        <w:t>un promedio por hogar de 3.5</w:t>
      </w:r>
      <w:r w:rsidR="00C77BAE" w:rsidRPr="008B43F6">
        <w:t xml:space="preserve"> </w:t>
      </w:r>
      <w:r w:rsidR="00A14C03" w:rsidRPr="008B43F6">
        <w:t>personas</w:t>
      </w:r>
      <w:r w:rsidR="00580644" w:rsidRPr="008B43F6">
        <w:t xml:space="preserve"> (</w:t>
      </w:r>
      <w:r w:rsidR="00176AC8" w:rsidRPr="008B43F6">
        <w:t>Figura</w:t>
      </w:r>
      <w:r w:rsidR="00580644" w:rsidRPr="008B43F6">
        <w:t xml:space="preserve"> 4.2)</w:t>
      </w:r>
      <w:r w:rsidR="00A14C03" w:rsidRPr="008B43F6">
        <w:t xml:space="preserve">. </w:t>
      </w:r>
      <w:r w:rsidR="00580644" w:rsidRPr="008B43F6">
        <w:t>Bajo esta perspectiva</w:t>
      </w:r>
      <w:r w:rsidR="00A14C03" w:rsidRPr="008B43F6">
        <w:t>, para el 2020 se requeriría</w:t>
      </w:r>
      <w:r w:rsidR="00580644" w:rsidRPr="008B43F6">
        <w:t>n</w:t>
      </w:r>
      <w:r w:rsidR="00A14C03" w:rsidRPr="008B43F6">
        <w:t xml:space="preserve"> 8.7 millones de viviendas nuevas.</w:t>
      </w:r>
    </w:p>
    <w:p w:rsidR="00B32C19" w:rsidRPr="008B43F6" w:rsidRDefault="00176AC8" w:rsidP="00C12621">
      <w:pPr>
        <w:spacing w:after="0"/>
        <w:jc w:val="both"/>
        <w:rPr>
          <w:color w:val="000000" w:themeColor="text1"/>
          <w:sz w:val="18"/>
          <w:szCs w:val="18"/>
        </w:rPr>
      </w:pPr>
      <w:r w:rsidRPr="008B43F6">
        <w:rPr>
          <w:b/>
          <w:color w:val="000000" w:themeColor="text1"/>
          <w:sz w:val="18"/>
          <w:szCs w:val="18"/>
        </w:rPr>
        <w:lastRenderedPageBreak/>
        <w:t>Figura</w:t>
      </w:r>
      <w:r w:rsidR="00CA4EF0" w:rsidRPr="008B43F6">
        <w:rPr>
          <w:b/>
          <w:color w:val="000000" w:themeColor="text1"/>
          <w:sz w:val="18"/>
          <w:szCs w:val="18"/>
        </w:rPr>
        <w:t xml:space="preserve"> 4.2</w:t>
      </w:r>
      <w:r w:rsidR="00B32C19" w:rsidRPr="008B43F6">
        <w:rPr>
          <w:b/>
          <w:color w:val="000000" w:themeColor="text1"/>
          <w:sz w:val="18"/>
          <w:szCs w:val="18"/>
        </w:rPr>
        <w:t xml:space="preserve"> </w:t>
      </w:r>
      <w:r w:rsidR="00B32C19" w:rsidRPr="008B43F6">
        <w:rPr>
          <w:color w:val="000000" w:themeColor="text1"/>
          <w:sz w:val="18"/>
          <w:szCs w:val="18"/>
        </w:rPr>
        <w:t>Número de hogares en México 2010-2020</w:t>
      </w:r>
    </w:p>
    <w:p w:rsidR="00392837" w:rsidRPr="008B43F6" w:rsidRDefault="002A29B6" w:rsidP="00C12621">
      <w:pPr>
        <w:spacing w:after="0"/>
        <w:jc w:val="both"/>
        <w:rPr>
          <w:color w:val="000000" w:themeColor="text1"/>
          <w:sz w:val="18"/>
          <w:szCs w:val="18"/>
        </w:rPr>
      </w:pPr>
      <w:r w:rsidRPr="008B43F6">
        <w:rPr>
          <w:noProof/>
          <w:color w:val="000000" w:themeColor="text1"/>
          <w:sz w:val="18"/>
          <w:szCs w:val="18"/>
          <w:lang w:eastAsia="es-MX"/>
        </w:rPr>
        <w:drawing>
          <wp:inline distT="0" distB="0" distL="0" distR="0" wp14:anchorId="178EFD45" wp14:editId="63970419">
            <wp:extent cx="3918810" cy="21600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18810" cy="2160000"/>
                    </a:xfrm>
                    <a:prstGeom prst="rect">
                      <a:avLst/>
                    </a:prstGeom>
                    <a:noFill/>
                    <a:ln>
                      <a:noFill/>
                    </a:ln>
                  </pic:spPr>
                </pic:pic>
              </a:graphicData>
            </a:graphic>
          </wp:inline>
        </w:drawing>
      </w:r>
    </w:p>
    <w:p w:rsidR="00392837" w:rsidRPr="008B43F6" w:rsidRDefault="00392837" w:rsidP="00C12621">
      <w:pPr>
        <w:spacing w:after="0"/>
        <w:jc w:val="both"/>
        <w:rPr>
          <w:color w:val="000000" w:themeColor="text1"/>
          <w:sz w:val="18"/>
          <w:szCs w:val="18"/>
        </w:rPr>
      </w:pPr>
      <w:r w:rsidRPr="008B43F6">
        <w:rPr>
          <w:b/>
          <w:color w:val="000000" w:themeColor="text1"/>
          <w:sz w:val="18"/>
          <w:szCs w:val="18"/>
        </w:rPr>
        <w:t>Fuente:</w:t>
      </w:r>
      <w:r w:rsidR="00E75797" w:rsidRPr="008B43F6">
        <w:rPr>
          <w:color w:val="000000" w:themeColor="text1"/>
          <w:sz w:val="18"/>
          <w:szCs w:val="18"/>
        </w:rPr>
        <w:t xml:space="preserve"> Elaboración propia</w:t>
      </w:r>
      <w:r w:rsidRPr="008B43F6">
        <w:rPr>
          <w:color w:val="000000" w:themeColor="text1"/>
          <w:sz w:val="18"/>
          <w:szCs w:val="18"/>
        </w:rPr>
        <w:t xml:space="preserve"> con datos de INEGI y CONAPO</w:t>
      </w:r>
    </w:p>
    <w:p w:rsidR="00392837" w:rsidRPr="008B43F6" w:rsidRDefault="00392837" w:rsidP="00C12621">
      <w:pPr>
        <w:jc w:val="both"/>
        <w:rPr>
          <w:color w:val="1F497D" w:themeColor="text2"/>
        </w:rPr>
      </w:pPr>
    </w:p>
    <w:p w:rsidR="005C7E01" w:rsidRPr="008B43F6" w:rsidRDefault="001A074C" w:rsidP="00C12621">
      <w:pPr>
        <w:pStyle w:val="Ttulo3"/>
        <w:jc w:val="both"/>
        <w:rPr>
          <w:rFonts w:asciiTheme="minorHAnsi" w:hAnsiTheme="minorHAnsi"/>
        </w:rPr>
      </w:pPr>
      <w:bookmarkStart w:id="54" w:name="_Toc350874974"/>
      <w:bookmarkStart w:id="55" w:name="_Toc351397586"/>
      <w:r w:rsidRPr="008B43F6">
        <w:rPr>
          <w:rFonts w:asciiTheme="minorHAnsi" w:hAnsiTheme="minorHAnsi"/>
        </w:rPr>
        <w:t>4.1</w:t>
      </w:r>
      <w:r w:rsidRPr="008B43F6">
        <w:rPr>
          <w:rStyle w:val="Ttulo3Car"/>
          <w:rFonts w:asciiTheme="minorHAnsi" w:hAnsiTheme="minorHAnsi"/>
          <w:b/>
          <w:bCs/>
        </w:rPr>
        <w:t xml:space="preserve">.3 </w:t>
      </w:r>
      <w:r w:rsidR="005C7E01" w:rsidRPr="008B43F6">
        <w:rPr>
          <w:rFonts w:asciiTheme="minorHAnsi" w:hAnsiTheme="minorHAnsi"/>
        </w:rPr>
        <w:t>Regionalización</w:t>
      </w:r>
      <w:bookmarkEnd w:id="54"/>
      <w:bookmarkEnd w:id="55"/>
    </w:p>
    <w:p w:rsidR="00A14C03" w:rsidRPr="008B43F6" w:rsidRDefault="00580644" w:rsidP="00C12621">
      <w:pPr>
        <w:jc w:val="both"/>
      </w:pPr>
      <w:r w:rsidRPr="008B43F6">
        <w:t xml:space="preserve">La regionalización se establece en función de la que define la </w:t>
      </w:r>
      <w:r w:rsidR="00C77BAE" w:rsidRPr="008B43F6">
        <w:t>Comisión Federal de Electricidad (CFE)</w:t>
      </w:r>
      <w:r w:rsidRPr="008B43F6">
        <w:t xml:space="preserve">, </w:t>
      </w:r>
      <w:r w:rsidR="001E78CB" w:rsidRPr="008B43F6">
        <w:t xml:space="preserve">para las tarifas del sector doméstico, </w:t>
      </w:r>
      <w:r w:rsidRPr="008B43F6">
        <w:t xml:space="preserve">la cual se basa en la </w:t>
      </w:r>
      <w:r w:rsidR="00C77BAE" w:rsidRPr="008B43F6">
        <w:t>temperatura media mínima en verano</w:t>
      </w:r>
      <w:r w:rsidR="00131B1C" w:rsidRPr="008B43F6">
        <w:rPr>
          <w:rStyle w:val="Refdenotaalpie"/>
        </w:rPr>
        <w:footnoteReference w:id="1"/>
      </w:r>
      <w:r w:rsidR="00CA4EF0" w:rsidRPr="008B43F6">
        <w:t>(Tabla 4.3).</w:t>
      </w:r>
    </w:p>
    <w:p w:rsidR="00550085" w:rsidRPr="008B43F6" w:rsidRDefault="00550085" w:rsidP="00C12621">
      <w:pPr>
        <w:spacing w:after="0"/>
        <w:jc w:val="both"/>
        <w:rPr>
          <w:sz w:val="18"/>
          <w:szCs w:val="18"/>
        </w:rPr>
      </w:pPr>
      <w:r w:rsidRPr="008B43F6">
        <w:rPr>
          <w:b/>
          <w:sz w:val="18"/>
          <w:szCs w:val="18"/>
        </w:rPr>
        <w:t xml:space="preserve">Tabla </w:t>
      </w:r>
      <w:r w:rsidR="00CA4EF0" w:rsidRPr="008B43F6">
        <w:rPr>
          <w:b/>
          <w:sz w:val="18"/>
          <w:szCs w:val="18"/>
        </w:rPr>
        <w:t>4.3</w:t>
      </w:r>
      <w:r w:rsidRPr="008B43F6">
        <w:rPr>
          <w:b/>
          <w:sz w:val="18"/>
          <w:szCs w:val="18"/>
        </w:rPr>
        <w:t>.</w:t>
      </w:r>
      <w:r w:rsidRPr="008B43F6">
        <w:rPr>
          <w:sz w:val="18"/>
          <w:szCs w:val="18"/>
        </w:rPr>
        <w:t xml:space="preserve"> Regiones tarifarias de la CFE</w:t>
      </w:r>
    </w:p>
    <w:tbl>
      <w:tblPr>
        <w:tblStyle w:val="Tablaconcuadrcula"/>
        <w:tblW w:w="0" w:type="auto"/>
        <w:tblInd w:w="11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92"/>
        <w:gridCol w:w="4819"/>
      </w:tblGrid>
      <w:tr w:rsidR="00AD2ACA" w:rsidRPr="008B43F6" w:rsidTr="00C92E54">
        <w:tc>
          <w:tcPr>
            <w:tcW w:w="992" w:type="dxa"/>
            <w:shd w:val="clear" w:color="auto" w:fill="4F81BD" w:themeFill="accent1"/>
          </w:tcPr>
          <w:p w:rsidR="00131B1C" w:rsidRPr="008B43F6" w:rsidRDefault="001E78CB" w:rsidP="00C12621">
            <w:pPr>
              <w:spacing w:line="276" w:lineRule="auto"/>
              <w:jc w:val="both"/>
              <w:rPr>
                <w:b/>
                <w:color w:val="FFFFFF" w:themeColor="background1"/>
                <w:sz w:val="18"/>
                <w:szCs w:val="18"/>
              </w:rPr>
            </w:pPr>
            <w:r w:rsidRPr="008B43F6">
              <w:rPr>
                <w:b/>
                <w:color w:val="FFFFFF" w:themeColor="background1"/>
                <w:sz w:val="18"/>
                <w:szCs w:val="18"/>
              </w:rPr>
              <w:t>Tarifa</w:t>
            </w:r>
          </w:p>
        </w:tc>
        <w:tc>
          <w:tcPr>
            <w:tcW w:w="4819" w:type="dxa"/>
            <w:shd w:val="clear" w:color="auto" w:fill="4F81BD" w:themeFill="accent1"/>
          </w:tcPr>
          <w:p w:rsidR="00131B1C" w:rsidRPr="008B43F6" w:rsidRDefault="00AD2ACA" w:rsidP="00C12621">
            <w:pPr>
              <w:spacing w:line="276" w:lineRule="auto"/>
              <w:jc w:val="both"/>
              <w:rPr>
                <w:b/>
                <w:color w:val="FFFFFF" w:themeColor="background1"/>
                <w:sz w:val="18"/>
                <w:szCs w:val="18"/>
              </w:rPr>
            </w:pPr>
            <w:r w:rsidRPr="008B43F6">
              <w:rPr>
                <w:b/>
                <w:color w:val="FFFFFF" w:themeColor="background1"/>
                <w:sz w:val="18"/>
                <w:szCs w:val="18"/>
              </w:rPr>
              <w:t>Criterio</w:t>
            </w:r>
            <w:r w:rsidR="00580644" w:rsidRPr="008B43F6">
              <w:rPr>
                <w:b/>
                <w:color w:val="FFFFFF" w:themeColor="background1"/>
                <w:sz w:val="18"/>
                <w:szCs w:val="18"/>
              </w:rPr>
              <w:t xml:space="preserve"> </w:t>
            </w:r>
          </w:p>
        </w:tc>
      </w:tr>
      <w:tr w:rsidR="00AD2ACA" w:rsidRPr="008B43F6" w:rsidTr="0074284C">
        <w:tc>
          <w:tcPr>
            <w:tcW w:w="992" w:type="dxa"/>
          </w:tcPr>
          <w:p w:rsidR="00131B1C" w:rsidRPr="008B43F6" w:rsidRDefault="00131B1C" w:rsidP="00C12621">
            <w:pPr>
              <w:spacing w:line="276" w:lineRule="auto"/>
              <w:jc w:val="both"/>
              <w:rPr>
                <w:sz w:val="18"/>
                <w:szCs w:val="18"/>
              </w:rPr>
            </w:pPr>
            <w:r w:rsidRPr="008B43F6">
              <w:rPr>
                <w:sz w:val="18"/>
                <w:szCs w:val="18"/>
              </w:rPr>
              <w:t xml:space="preserve">1 </w:t>
            </w:r>
          </w:p>
        </w:tc>
        <w:tc>
          <w:tcPr>
            <w:tcW w:w="4819" w:type="dxa"/>
          </w:tcPr>
          <w:p w:rsidR="00131B1C" w:rsidRPr="008B43F6" w:rsidRDefault="00580644" w:rsidP="00C12621">
            <w:pPr>
              <w:spacing w:line="276" w:lineRule="auto"/>
              <w:jc w:val="both"/>
              <w:rPr>
                <w:sz w:val="18"/>
                <w:szCs w:val="18"/>
              </w:rPr>
            </w:pPr>
            <w:r w:rsidRPr="008B43F6">
              <w:rPr>
                <w:sz w:val="18"/>
                <w:szCs w:val="18"/>
              </w:rPr>
              <w:t>M</w:t>
            </w:r>
            <w:r w:rsidR="00131B1C" w:rsidRPr="008B43F6">
              <w:rPr>
                <w:sz w:val="18"/>
                <w:szCs w:val="18"/>
              </w:rPr>
              <w:t>enor a los 25°C.</w:t>
            </w:r>
          </w:p>
        </w:tc>
      </w:tr>
      <w:tr w:rsidR="00AD2ACA" w:rsidRPr="008B43F6" w:rsidTr="0074284C">
        <w:tc>
          <w:tcPr>
            <w:tcW w:w="992" w:type="dxa"/>
          </w:tcPr>
          <w:p w:rsidR="00131B1C" w:rsidRPr="008B43F6" w:rsidRDefault="00131B1C" w:rsidP="00C12621">
            <w:pPr>
              <w:spacing w:line="276" w:lineRule="auto"/>
              <w:jc w:val="both"/>
              <w:rPr>
                <w:sz w:val="18"/>
                <w:szCs w:val="18"/>
              </w:rPr>
            </w:pPr>
            <w:r w:rsidRPr="008B43F6">
              <w:rPr>
                <w:sz w:val="18"/>
                <w:szCs w:val="18"/>
              </w:rPr>
              <w:t>1</w:t>
            </w:r>
            <w:r w:rsidR="008710CA" w:rsidRPr="008B43F6">
              <w:rPr>
                <w:sz w:val="18"/>
                <w:szCs w:val="18"/>
              </w:rPr>
              <w:t>ª</w:t>
            </w:r>
          </w:p>
        </w:tc>
        <w:tc>
          <w:tcPr>
            <w:tcW w:w="4819" w:type="dxa"/>
          </w:tcPr>
          <w:p w:rsidR="00131B1C" w:rsidRPr="008B43F6" w:rsidRDefault="00580644" w:rsidP="00C12621">
            <w:pPr>
              <w:spacing w:line="276" w:lineRule="auto"/>
              <w:jc w:val="both"/>
              <w:rPr>
                <w:sz w:val="18"/>
                <w:szCs w:val="18"/>
              </w:rPr>
            </w:pPr>
            <w:r w:rsidRPr="008B43F6">
              <w:rPr>
                <w:sz w:val="18"/>
                <w:szCs w:val="18"/>
              </w:rPr>
              <w:t>M</w:t>
            </w:r>
            <w:r w:rsidR="00131B1C" w:rsidRPr="008B43F6">
              <w:rPr>
                <w:sz w:val="18"/>
                <w:szCs w:val="18"/>
              </w:rPr>
              <w:t xml:space="preserve">ínima en verano de 25°C. </w:t>
            </w:r>
          </w:p>
        </w:tc>
      </w:tr>
      <w:tr w:rsidR="00AD2ACA" w:rsidRPr="008B43F6" w:rsidTr="0074284C">
        <w:tc>
          <w:tcPr>
            <w:tcW w:w="992" w:type="dxa"/>
          </w:tcPr>
          <w:p w:rsidR="00131B1C" w:rsidRPr="008B43F6" w:rsidRDefault="00131B1C" w:rsidP="00C12621">
            <w:pPr>
              <w:spacing w:line="276" w:lineRule="auto"/>
              <w:jc w:val="both"/>
              <w:rPr>
                <w:sz w:val="18"/>
                <w:szCs w:val="18"/>
              </w:rPr>
            </w:pPr>
            <w:r w:rsidRPr="008B43F6">
              <w:rPr>
                <w:sz w:val="18"/>
                <w:szCs w:val="18"/>
              </w:rPr>
              <w:t>1B</w:t>
            </w:r>
          </w:p>
        </w:tc>
        <w:tc>
          <w:tcPr>
            <w:tcW w:w="4819" w:type="dxa"/>
          </w:tcPr>
          <w:p w:rsidR="00131B1C" w:rsidRPr="008B43F6" w:rsidRDefault="00580644" w:rsidP="00C12621">
            <w:pPr>
              <w:spacing w:line="276" w:lineRule="auto"/>
              <w:jc w:val="both"/>
              <w:rPr>
                <w:sz w:val="18"/>
                <w:szCs w:val="18"/>
              </w:rPr>
            </w:pPr>
            <w:r w:rsidRPr="008B43F6">
              <w:rPr>
                <w:sz w:val="18"/>
                <w:szCs w:val="18"/>
              </w:rPr>
              <w:t>M</w:t>
            </w:r>
            <w:r w:rsidR="00131B1C" w:rsidRPr="008B43F6">
              <w:rPr>
                <w:sz w:val="18"/>
                <w:szCs w:val="18"/>
              </w:rPr>
              <w:t>ínima en verano de 28°C.</w:t>
            </w:r>
          </w:p>
        </w:tc>
      </w:tr>
      <w:tr w:rsidR="00AD2ACA" w:rsidRPr="008B43F6" w:rsidTr="0074284C">
        <w:tc>
          <w:tcPr>
            <w:tcW w:w="992" w:type="dxa"/>
          </w:tcPr>
          <w:p w:rsidR="00131B1C" w:rsidRPr="008B43F6" w:rsidRDefault="00131B1C" w:rsidP="00C12621">
            <w:pPr>
              <w:spacing w:line="276" w:lineRule="auto"/>
              <w:jc w:val="both"/>
              <w:rPr>
                <w:sz w:val="18"/>
                <w:szCs w:val="18"/>
              </w:rPr>
            </w:pPr>
            <w:r w:rsidRPr="008B43F6">
              <w:rPr>
                <w:sz w:val="18"/>
                <w:szCs w:val="18"/>
              </w:rPr>
              <w:t>1C</w:t>
            </w:r>
          </w:p>
        </w:tc>
        <w:tc>
          <w:tcPr>
            <w:tcW w:w="4819" w:type="dxa"/>
          </w:tcPr>
          <w:p w:rsidR="00131B1C" w:rsidRPr="008B43F6" w:rsidRDefault="00580644" w:rsidP="00C12621">
            <w:pPr>
              <w:spacing w:line="276" w:lineRule="auto"/>
              <w:jc w:val="both"/>
              <w:rPr>
                <w:sz w:val="18"/>
                <w:szCs w:val="18"/>
              </w:rPr>
            </w:pPr>
            <w:r w:rsidRPr="008B43F6">
              <w:rPr>
                <w:sz w:val="18"/>
                <w:szCs w:val="18"/>
              </w:rPr>
              <w:t>M</w:t>
            </w:r>
            <w:r w:rsidR="00131B1C" w:rsidRPr="008B43F6">
              <w:rPr>
                <w:sz w:val="18"/>
                <w:szCs w:val="18"/>
              </w:rPr>
              <w:t>ínima en verano de 30°C.</w:t>
            </w:r>
          </w:p>
        </w:tc>
      </w:tr>
      <w:tr w:rsidR="00AD2ACA" w:rsidRPr="008B43F6" w:rsidTr="0074284C">
        <w:tc>
          <w:tcPr>
            <w:tcW w:w="992" w:type="dxa"/>
          </w:tcPr>
          <w:p w:rsidR="00131B1C" w:rsidRPr="008B43F6" w:rsidRDefault="00131B1C" w:rsidP="00C12621">
            <w:pPr>
              <w:spacing w:line="276" w:lineRule="auto"/>
              <w:jc w:val="both"/>
              <w:rPr>
                <w:sz w:val="18"/>
                <w:szCs w:val="18"/>
              </w:rPr>
            </w:pPr>
            <w:r w:rsidRPr="008B43F6">
              <w:rPr>
                <w:sz w:val="18"/>
                <w:szCs w:val="18"/>
              </w:rPr>
              <w:t>1D</w:t>
            </w:r>
          </w:p>
        </w:tc>
        <w:tc>
          <w:tcPr>
            <w:tcW w:w="4819" w:type="dxa"/>
          </w:tcPr>
          <w:p w:rsidR="00131B1C" w:rsidRPr="008B43F6" w:rsidRDefault="00580644" w:rsidP="00C12621">
            <w:pPr>
              <w:spacing w:line="276" w:lineRule="auto"/>
              <w:jc w:val="both"/>
              <w:rPr>
                <w:sz w:val="18"/>
                <w:szCs w:val="18"/>
              </w:rPr>
            </w:pPr>
            <w:r w:rsidRPr="008B43F6">
              <w:rPr>
                <w:sz w:val="18"/>
                <w:szCs w:val="18"/>
              </w:rPr>
              <w:t>M</w:t>
            </w:r>
            <w:r w:rsidR="00131B1C" w:rsidRPr="008B43F6">
              <w:rPr>
                <w:sz w:val="18"/>
                <w:szCs w:val="18"/>
              </w:rPr>
              <w:t>ínima en verano de 31°C.</w:t>
            </w:r>
          </w:p>
        </w:tc>
      </w:tr>
      <w:tr w:rsidR="00AD2ACA" w:rsidRPr="008B43F6" w:rsidTr="0074284C">
        <w:tc>
          <w:tcPr>
            <w:tcW w:w="992" w:type="dxa"/>
          </w:tcPr>
          <w:p w:rsidR="00131B1C" w:rsidRPr="008B43F6" w:rsidRDefault="00131B1C" w:rsidP="00C12621">
            <w:pPr>
              <w:spacing w:line="276" w:lineRule="auto"/>
              <w:jc w:val="both"/>
              <w:rPr>
                <w:sz w:val="18"/>
                <w:szCs w:val="18"/>
              </w:rPr>
            </w:pPr>
            <w:r w:rsidRPr="008B43F6">
              <w:rPr>
                <w:sz w:val="18"/>
                <w:szCs w:val="18"/>
              </w:rPr>
              <w:t>1E</w:t>
            </w:r>
          </w:p>
        </w:tc>
        <w:tc>
          <w:tcPr>
            <w:tcW w:w="4819" w:type="dxa"/>
          </w:tcPr>
          <w:p w:rsidR="00131B1C" w:rsidRPr="008B43F6" w:rsidRDefault="00580644" w:rsidP="00C12621">
            <w:pPr>
              <w:spacing w:line="276" w:lineRule="auto"/>
              <w:jc w:val="both"/>
              <w:rPr>
                <w:sz w:val="18"/>
                <w:szCs w:val="18"/>
              </w:rPr>
            </w:pPr>
            <w:r w:rsidRPr="008B43F6">
              <w:rPr>
                <w:sz w:val="18"/>
                <w:szCs w:val="18"/>
              </w:rPr>
              <w:t>M</w:t>
            </w:r>
            <w:r w:rsidR="00131B1C" w:rsidRPr="008B43F6">
              <w:rPr>
                <w:sz w:val="18"/>
                <w:szCs w:val="18"/>
              </w:rPr>
              <w:t>ínima en verano de 32°C.</w:t>
            </w:r>
          </w:p>
        </w:tc>
      </w:tr>
      <w:tr w:rsidR="00AD2ACA" w:rsidRPr="008B43F6" w:rsidTr="0074284C">
        <w:tc>
          <w:tcPr>
            <w:tcW w:w="992" w:type="dxa"/>
          </w:tcPr>
          <w:p w:rsidR="00131B1C" w:rsidRPr="008B43F6" w:rsidRDefault="00131B1C" w:rsidP="00C12621">
            <w:pPr>
              <w:spacing w:line="276" w:lineRule="auto"/>
              <w:jc w:val="both"/>
              <w:rPr>
                <w:sz w:val="18"/>
                <w:szCs w:val="18"/>
              </w:rPr>
            </w:pPr>
            <w:r w:rsidRPr="008B43F6">
              <w:rPr>
                <w:sz w:val="18"/>
                <w:szCs w:val="18"/>
              </w:rPr>
              <w:t>1F</w:t>
            </w:r>
          </w:p>
        </w:tc>
        <w:tc>
          <w:tcPr>
            <w:tcW w:w="4819" w:type="dxa"/>
          </w:tcPr>
          <w:p w:rsidR="00131B1C" w:rsidRPr="008B43F6" w:rsidRDefault="00580644" w:rsidP="00C12621">
            <w:pPr>
              <w:spacing w:line="276" w:lineRule="auto"/>
              <w:jc w:val="both"/>
              <w:rPr>
                <w:sz w:val="18"/>
                <w:szCs w:val="18"/>
              </w:rPr>
            </w:pPr>
            <w:r w:rsidRPr="008B43F6">
              <w:rPr>
                <w:sz w:val="18"/>
                <w:szCs w:val="18"/>
              </w:rPr>
              <w:t>M</w:t>
            </w:r>
            <w:r w:rsidR="00131B1C" w:rsidRPr="008B43F6">
              <w:rPr>
                <w:sz w:val="18"/>
                <w:szCs w:val="18"/>
              </w:rPr>
              <w:t>ínima en verano de 33°C.</w:t>
            </w:r>
          </w:p>
        </w:tc>
      </w:tr>
    </w:tbl>
    <w:p w:rsidR="00131B1C" w:rsidRPr="008B43F6" w:rsidRDefault="00550085" w:rsidP="00C12621">
      <w:pPr>
        <w:spacing w:after="0"/>
        <w:jc w:val="both"/>
        <w:rPr>
          <w:sz w:val="18"/>
          <w:szCs w:val="18"/>
        </w:rPr>
      </w:pPr>
      <w:r w:rsidRPr="008B43F6">
        <w:rPr>
          <w:b/>
          <w:sz w:val="18"/>
          <w:szCs w:val="18"/>
        </w:rPr>
        <w:t>Fuente:</w:t>
      </w:r>
      <w:r w:rsidRPr="008B43F6">
        <w:rPr>
          <w:sz w:val="18"/>
          <w:szCs w:val="18"/>
        </w:rPr>
        <w:t xml:space="preserve"> </w:t>
      </w:r>
      <w:r w:rsidR="003113E5" w:rsidRPr="008B43F6">
        <w:rPr>
          <w:sz w:val="18"/>
          <w:szCs w:val="18"/>
        </w:rPr>
        <w:t xml:space="preserve">CFE </w:t>
      </w:r>
      <w:r w:rsidR="00034369" w:rsidRPr="008B43F6">
        <w:rPr>
          <w:sz w:val="18"/>
          <w:szCs w:val="18"/>
        </w:rPr>
        <w:fldChar w:fldCharType="begin"/>
      </w:r>
      <w:r w:rsidR="00034369" w:rsidRPr="008B43F6">
        <w:rPr>
          <w:sz w:val="18"/>
          <w:szCs w:val="18"/>
        </w:rPr>
        <w:instrText xml:space="preserve"> ADDIN EN.CITE &lt;EndNote&gt;&lt;Cite&gt;&lt;Author&gt;CFE&lt;/Author&gt;&lt;RecNum&gt;87&lt;/RecNum&gt;&lt;DisplayText&gt;[20]&lt;/DisplayText&gt;&lt;record&gt;&lt;rec-number&gt;87&lt;/rec-number&gt;&lt;foreign-keys&gt;&lt;key app="EN" db-id="w0w9edzzlxxfdgesvf359ft8wzxverspwaav"&gt;87&lt;/key&gt;&lt;/foreign-keys&gt;&lt;ref-type name="Government Document"&gt;46&lt;/ref-type&gt;&lt;contributors&gt;&lt;authors&gt;&lt;author&gt;CFE&lt;/author&gt;&lt;/authors&gt;&lt;/contributors&gt;&lt;titles&gt;&lt;title&gt;Estadísticas de Venta de la CFE &lt;/title&gt;&lt;/titles&gt;&lt;dates&gt;&lt;/dates&gt;&lt;urls&gt;&lt;related-urls&gt;&lt;url&gt;http://app.cfe.gob.mx/Aplicaciones/QCFE/EstVtas/PorTarifa.aspx&lt;/url&gt;&lt;/related-urls&gt;&lt;/urls&gt;&lt;/record&gt;&lt;/Cite&gt;&lt;/EndNote&gt;</w:instrText>
      </w:r>
      <w:r w:rsidR="00034369" w:rsidRPr="008B43F6">
        <w:rPr>
          <w:sz w:val="18"/>
          <w:szCs w:val="18"/>
        </w:rPr>
        <w:fldChar w:fldCharType="separate"/>
      </w:r>
      <w:r w:rsidR="00034369" w:rsidRPr="008B43F6">
        <w:rPr>
          <w:noProof/>
          <w:sz w:val="18"/>
          <w:szCs w:val="18"/>
        </w:rPr>
        <w:t>[</w:t>
      </w:r>
      <w:hyperlink w:anchor="_ENREF_20" w:tooltip="CFE,  #87" w:history="1">
        <w:r w:rsidR="00251C87" w:rsidRPr="008B43F6">
          <w:rPr>
            <w:noProof/>
            <w:sz w:val="18"/>
            <w:szCs w:val="18"/>
          </w:rPr>
          <w:t>20</w:t>
        </w:r>
      </w:hyperlink>
      <w:r w:rsidR="00034369" w:rsidRPr="008B43F6">
        <w:rPr>
          <w:noProof/>
          <w:sz w:val="18"/>
          <w:szCs w:val="18"/>
        </w:rPr>
        <w:t>]</w:t>
      </w:r>
      <w:r w:rsidR="00034369" w:rsidRPr="008B43F6">
        <w:rPr>
          <w:sz w:val="18"/>
          <w:szCs w:val="18"/>
        </w:rPr>
        <w:fldChar w:fldCharType="end"/>
      </w:r>
    </w:p>
    <w:p w:rsidR="001927B4" w:rsidRPr="008B43F6" w:rsidRDefault="001A074C" w:rsidP="00C12621">
      <w:pPr>
        <w:pStyle w:val="Ttulo3"/>
        <w:jc w:val="both"/>
        <w:rPr>
          <w:rFonts w:asciiTheme="minorHAnsi" w:hAnsiTheme="minorHAnsi"/>
        </w:rPr>
      </w:pPr>
      <w:bookmarkStart w:id="56" w:name="_Toc350874975"/>
      <w:bookmarkStart w:id="57" w:name="_Toc351397587"/>
      <w:r w:rsidRPr="008B43F6">
        <w:rPr>
          <w:rFonts w:asciiTheme="minorHAnsi" w:hAnsiTheme="minorHAnsi"/>
        </w:rPr>
        <w:t xml:space="preserve">4.1.4 </w:t>
      </w:r>
      <w:r w:rsidR="001927B4" w:rsidRPr="008B43F6">
        <w:rPr>
          <w:rFonts w:asciiTheme="minorHAnsi" w:hAnsiTheme="minorHAnsi"/>
        </w:rPr>
        <w:t>Ingreso/gasto</w:t>
      </w:r>
      <w:bookmarkEnd w:id="56"/>
      <w:bookmarkEnd w:id="57"/>
    </w:p>
    <w:p w:rsidR="00131B1C" w:rsidRPr="008B43F6" w:rsidRDefault="007C2BA3" w:rsidP="00C12621">
      <w:pPr>
        <w:spacing w:after="0"/>
        <w:jc w:val="both"/>
      </w:pPr>
      <w:r w:rsidRPr="008B43F6">
        <w:t>De acuerdo a la Encuesta Nacional de Ingreso Gasto de los Hogares  2010 el ingreso mensual por hogar se ubica entre poco más de 2 mil pesos para el decil de menor ingreso y cerca de 40 mil para el de mayor ingreso (</w:t>
      </w:r>
      <w:r w:rsidR="00176AC8" w:rsidRPr="008B43F6">
        <w:t>Figura</w:t>
      </w:r>
      <w:r w:rsidRPr="008B43F6">
        <w:t xml:space="preserve"> 4.4). </w:t>
      </w:r>
    </w:p>
    <w:p w:rsidR="002C7AFB" w:rsidRPr="008B43F6" w:rsidRDefault="002C7AFB" w:rsidP="00C12621">
      <w:pPr>
        <w:jc w:val="both"/>
      </w:pPr>
    </w:p>
    <w:p w:rsidR="00B32C19" w:rsidRPr="008B43F6" w:rsidRDefault="00176AC8" w:rsidP="00C12621">
      <w:pPr>
        <w:spacing w:after="0"/>
        <w:jc w:val="both"/>
        <w:rPr>
          <w:b/>
          <w:sz w:val="18"/>
          <w:szCs w:val="18"/>
        </w:rPr>
      </w:pPr>
      <w:r w:rsidRPr="008B43F6">
        <w:rPr>
          <w:b/>
          <w:sz w:val="18"/>
          <w:szCs w:val="18"/>
        </w:rPr>
        <w:t>Figura</w:t>
      </w:r>
      <w:r w:rsidR="00E75797" w:rsidRPr="008B43F6">
        <w:rPr>
          <w:b/>
          <w:sz w:val="18"/>
          <w:szCs w:val="18"/>
        </w:rPr>
        <w:t xml:space="preserve"> </w:t>
      </w:r>
      <w:r w:rsidR="00CA4EF0" w:rsidRPr="008B43F6">
        <w:rPr>
          <w:b/>
          <w:sz w:val="18"/>
          <w:szCs w:val="18"/>
        </w:rPr>
        <w:t xml:space="preserve">4.4 </w:t>
      </w:r>
      <w:r w:rsidR="00B32C19" w:rsidRPr="008B43F6">
        <w:rPr>
          <w:sz w:val="18"/>
          <w:szCs w:val="18"/>
        </w:rPr>
        <w:t xml:space="preserve"> Ingreso-gasto de los hogares del país por decil de ingreso</w:t>
      </w:r>
    </w:p>
    <w:p w:rsidR="00B20CB2" w:rsidRPr="008B43F6" w:rsidRDefault="002A29B6" w:rsidP="00C12621">
      <w:pPr>
        <w:spacing w:after="0"/>
        <w:jc w:val="both"/>
        <w:rPr>
          <w:sz w:val="18"/>
          <w:szCs w:val="18"/>
        </w:rPr>
      </w:pPr>
      <w:r w:rsidRPr="008B43F6">
        <w:rPr>
          <w:noProof/>
          <w:sz w:val="18"/>
          <w:szCs w:val="18"/>
          <w:lang w:eastAsia="es-MX"/>
        </w:rPr>
        <w:lastRenderedPageBreak/>
        <w:drawing>
          <wp:inline distT="0" distB="0" distL="0" distR="0" wp14:anchorId="33853097" wp14:editId="17A5CDDA">
            <wp:extent cx="3091105" cy="21600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1105" cy="2160000"/>
                    </a:xfrm>
                    <a:prstGeom prst="rect">
                      <a:avLst/>
                    </a:prstGeom>
                    <a:noFill/>
                    <a:ln>
                      <a:noFill/>
                    </a:ln>
                  </pic:spPr>
                </pic:pic>
              </a:graphicData>
            </a:graphic>
          </wp:inline>
        </w:drawing>
      </w:r>
    </w:p>
    <w:p w:rsidR="00B20CB2" w:rsidRPr="008B43F6" w:rsidRDefault="00B20CB2" w:rsidP="00C12621">
      <w:pPr>
        <w:spacing w:after="0"/>
        <w:jc w:val="both"/>
        <w:rPr>
          <w:sz w:val="18"/>
          <w:szCs w:val="18"/>
        </w:rPr>
      </w:pPr>
      <w:r w:rsidRPr="008B43F6">
        <w:rPr>
          <w:b/>
          <w:sz w:val="18"/>
          <w:szCs w:val="18"/>
        </w:rPr>
        <w:t>Fuente:</w:t>
      </w:r>
      <w:r w:rsidRPr="008B43F6">
        <w:rPr>
          <w:sz w:val="18"/>
          <w:szCs w:val="18"/>
        </w:rPr>
        <w:t xml:space="preserve"> Encuesta Nacional de Ingreso Gasto de los Hogares</w:t>
      </w:r>
      <w:r w:rsidR="00695BE1" w:rsidRPr="008B43F6">
        <w:rPr>
          <w:sz w:val="18"/>
          <w:szCs w:val="18"/>
        </w:rPr>
        <w:t xml:space="preserve"> </w:t>
      </w:r>
      <w:r w:rsidRPr="008B43F6">
        <w:rPr>
          <w:sz w:val="18"/>
          <w:szCs w:val="18"/>
        </w:rPr>
        <w:t xml:space="preserve"> 2010, INEGI.</w:t>
      </w:r>
      <w:r w:rsidR="00695BE1" w:rsidRPr="008B43F6">
        <w:rPr>
          <w:sz w:val="18"/>
          <w:szCs w:val="18"/>
        </w:rPr>
        <w:t xml:space="preserve"> (ENIGH-10).</w:t>
      </w:r>
    </w:p>
    <w:p w:rsidR="00B20CB2" w:rsidRPr="008B43F6" w:rsidRDefault="00B20CB2" w:rsidP="00C12621">
      <w:pPr>
        <w:spacing w:after="0"/>
        <w:jc w:val="both"/>
        <w:rPr>
          <w:color w:val="1F497D" w:themeColor="text2"/>
        </w:rPr>
      </w:pPr>
    </w:p>
    <w:p w:rsidR="00B20CB2" w:rsidRPr="008B43F6" w:rsidRDefault="00B20CB2" w:rsidP="00C12621">
      <w:pPr>
        <w:spacing w:after="0"/>
        <w:jc w:val="both"/>
        <w:rPr>
          <w:color w:val="1F497D" w:themeColor="text2"/>
        </w:rPr>
      </w:pPr>
    </w:p>
    <w:p w:rsidR="00E46C08" w:rsidRPr="008B43F6" w:rsidRDefault="00E46C08" w:rsidP="00C12621">
      <w:pPr>
        <w:spacing w:after="0"/>
        <w:jc w:val="both"/>
      </w:pPr>
      <w:r w:rsidRPr="008B43F6">
        <w:t>L</w:t>
      </w:r>
      <w:r w:rsidR="00C77BAE" w:rsidRPr="008B43F6">
        <w:t>os gastos promedio de los hogares en México</w:t>
      </w:r>
      <w:r w:rsidRPr="008B43F6">
        <w:t xml:space="preserve"> por deciles</w:t>
      </w:r>
      <w:r w:rsidR="007C2BA3" w:rsidRPr="008B43F6">
        <w:t xml:space="preserve"> en energía y por energético (a nivel nacional)</w:t>
      </w:r>
      <w:r w:rsidRPr="008B43F6">
        <w:t xml:space="preserve">, se estiman </w:t>
      </w:r>
      <w:r w:rsidR="00B32C19" w:rsidRPr="008B43F6">
        <w:t>mediante</w:t>
      </w:r>
      <w:r w:rsidR="00695BE1" w:rsidRPr="008B43F6">
        <w:t xml:space="preserve"> extrapolaciones de los gastos en electricidad, gas y leña de la </w:t>
      </w:r>
      <w:r w:rsidRPr="008B43F6">
        <w:t>Encuesta Nacional de Ingresos y Gastos de los Hogares de 2004 y 2006 (</w:t>
      </w:r>
      <w:r w:rsidR="00695BE1" w:rsidRPr="008B43F6">
        <w:t>ENIGH-04 y ENOGH-06</w:t>
      </w:r>
      <w:r w:rsidRPr="008B43F6">
        <w:t>)</w:t>
      </w:r>
      <w:r w:rsidR="00695BE1" w:rsidRPr="008B43F6">
        <w:rPr>
          <w:rStyle w:val="Refdenotaalpie"/>
        </w:rPr>
        <w:footnoteReference w:id="2"/>
      </w:r>
      <w:r w:rsidR="00C77BAE" w:rsidRPr="008B43F6">
        <w:t xml:space="preserve"> </w:t>
      </w:r>
      <w:r w:rsidR="00D5769B" w:rsidRPr="008B43F6">
        <w:t>. Se estima</w:t>
      </w:r>
      <w:r w:rsidR="00E75797" w:rsidRPr="008B43F6">
        <w:t xml:space="preserve"> </w:t>
      </w:r>
      <w:r w:rsidR="00C77BAE" w:rsidRPr="008B43F6">
        <w:t xml:space="preserve">que </w:t>
      </w:r>
      <w:r w:rsidR="00757A34" w:rsidRPr="008B43F6">
        <w:t xml:space="preserve"> el gasto monetario promedio e</w:t>
      </w:r>
      <w:r w:rsidR="00695BE1" w:rsidRPr="008B43F6">
        <w:t>n energéticos de los hogares a nivel nacional</w:t>
      </w:r>
      <w:r w:rsidR="00757A34" w:rsidRPr="008B43F6">
        <w:t xml:space="preserve"> por año</w:t>
      </w:r>
      <w:r w:rsidR="00C77BAE" w:rsidRPr="008B43F6">
        <w:t xml:space="preserve"> va de 1,a 15,117 $/año en electricidad, 1,322 a  3,458 $/año en gas y de 663 a 521 $/año en leña</w:t>
      </w:r>
      <w:r w:rsidR="00B32C19" w:rsidRPr="008B43F6">
        <w:t xml:space="preserve"> (Tabla</w:t>
      </w:r>
      <w:r w:rsidR="00E75797" w:rsidRPr="008B43F6">
        <w:t xml:space="preserve"> 4.5</w:t>
      </w:r>
      <w:r w:rsidR="00B32C19" w:rsidRPr="008B43F6">
        <w:t>).</w:t>
      </w:r>
    </w:p>
    <w:p w:rsidR="00392837" w:rsidRPr="008B43F6" w:rsidRDefault="00392837" w:rsidP="00C12621">
      <w:pPr>
        <w:jc w:val="both"/>
      </w:pPr>
    </w:p>
    <w:p w:rsidR="00B32C19" w:rsidRPr="008B43F6" w:rsidRDefault="00B32C19" w:rsidP="00C12621">
      <w:pPr>
        <w:spacing w:after="0"/>
        <w:jc w:val="both"/>
        <w:rPr>
          <w:b/>
          <w:sz w:val="18"/>
          <w:szCs w:val="18"/>
        </w:rPr>
      </w:pPr>
      <w:r w:rsidRPr="008B43F6">
        <w:rPr>
          <w:b/>
          <w:sz w:val="18"/>
          <w:szCs w:val="18"/>
        </w:rPr>
        <w:t xml:space="preserve">Tabla </w:t>
      </w:r>
      <w:r w:rsidR="00CA4EF0" w:rsidRPr="008B43F6">
        <w:rPr>
          <w:b/>
          <w:sz w:val="18"/>
          <w:szCs w:val="18"/>
        </w:rPr>
        <w:t xml:space="preserve">4.5 </w:t>
      </w:r>
      <w:r w:rsidRPr="008B43F6">
        <w:rPr>
          <w:b/>
          <w:sz w:val="18"/>
          <w:szCs w:val="18"/>
        </w:rPr>
        <w:t xml:space="preserve"> </w:t>
      </w:r>
      <w:r w:rsidRPr="008B43F6">
        <w:rPr>
          <w:sz w:val="18"/>
          <w:szCs w:val="18"/>
        </w:rPr>
        <w:t>Gasto monetario en combustibles por deciles de ingreso</w:t>
      </w:r>
    </w:p>
    <w:tbl>
      <w:tblPr>
        <w:tblStyle w:val="Sombreadoclaro"/>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44"/>
        <w:gridCol w:w="2244"/>
        <w:gridCol w:w="2245"/>
        <w:gridCol w:w="2245"/>
      </w:tblGrid>
      <w:tr w:rsidR="00695BE1" w:rsidRPr="008B43F6" w:rsidTr="00CA4E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4" w:type="dxa"/>
            <w:tcBorders>
              <w:top w:val="none" w:sz="0" w:space="0" w:color="auto"/>
              <w:left w:val="none" w:sz="0" w:space="0" w:color="auto"/>
              <w:bottom w:val="none" w:sz="0" w:space="0" w:color="auto"/>
              <w:right w:val="none" w:sz="0" w:space="0" w:color="auto"/>
            </w:tcBorders>
            <w:shd w:val="clear" w:color="auto" w:fill="4F81BD" w:themeFill="accent1"/>
          </w:tcPr>
          <w:p w:rsidR="00695BE1" w:rsidRPr="008B43F6" w:rsidRDefault="00695BE1" w:rsidP="00C12621">
            <w:pPr>
              <w:spacing w:line="276" w:lineRule="auto"/>
              <w:jc w:val="both"/>
              <w:rPr>
                <w:color w:val="FFFFFF" w:themeColor="background1"/>
                <w:sz w:val="18"/>
                <w:szCs w:val="18"/>
              </w:rPr>
            </w:pPr>
            <w:r w:rsidRPr="008B43F6">
              <w:rPr>
                <w:color w:val="FFFFFF" w:themeColor="background1"/>
                <w:sz w:val="18"/>
                <w:szCs w:val="18"/>
              </w:rPr>
              <w:t>Deciles de hogares</w:t>
            </w:r>
          </w:p>
        </w:tc>
        <w:tc>
          <w:tcPr>
            <w:tcW w:w="2244" w:type="dxa"/>
            <w:tcBorders>
              <w:top w:val="none" w:sz="0" w:space="0" w:color="auto"/>
              <w:left w:val="none" w:sz="0" w:space="0" w:color="auto"/>
              <w:bottom w:val="none" w:sz="0" w:space="0" w:color="auto"/>
              <w:right w:val="none" w:sz="0" w:space="0" w:color="auto"/>
            </w:tcBorders>
            <w:shd w:val="clear" w:color="auto" w:fill="4F81BD" w:themeFill="accent1"/>
          </w:tcPr>
          <w:p w:rsidR="00695BE1" w:rsidRPr="008B43F6" w:rsidRDefault="00695BE1" w:rsidP="00C12621">
            <w:pPr>
              <w:spacing w:line="276" w:lineRule="auto"/>
              <w:jc w:val="both"/>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8B43F6">
              <w:rPr>
                <w:color w:val="FFFFFF" w:themeColor="background1"/>
                <w:sz w:val="18"/>
                <w:szCs w:val="18"/>
              </w:rPr>
              <w:t>Gasto monetario en electricidad</w:t>
            </w:r>
          </w:p>
        </w:tc>
        <w:tc>
          <w:tcPr>
            <w:tcW w:w="2245" w:type="dxa"/>
            <w:tcBorders>
              <w:top w:val="none" w:sz="0" w:space="0" w:color="auto"/>
              <w:left w:val="none" w:sz="0" w:space="0" w:color="auto"/>
              <w:bottom w:val="none" w:sz="0" w:space="0" w:color="auto"/>
              <w:right w:val="none" w:sz="0" w:space="0" w:color="auto"/>
            </w:tcBorders>
            <w:shd w:val="clear" w:color="auto" w:fill="4F81BD" w:themeFill="accent1"/>
          </w:tcPr>
          <w:p w:rsidR="00695BE1" w:rsidRPr="008B43F6" w:rsidRDefault="00695BE1" w:rsidP="00C12621">
            <w:pPr>
              <w:spacing w:line="276" w:lineRule="auto"/>
              <w:jc w:val="both"/>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8B43F6">
              <w:rPr>
                <w:color w:val="FFFFFF" w:themeColor="background1"/>
                <w:sz w:val="18"/>
                <w:szCs w:val="18"/>
              </w:rPr>
              <w:t>Gasto monetario en gas</w:t>
            </w:r>
          </w:p>
        </w:tc>
        <w:tc>
          <w:tcPr>
            <w:tcW w:w="2245" w:type="dxa"/>
            <w:tcBorders>
              <w:top w:val="none" w:sz="0" w:space="0" w:color="auto"/>
              <w:left w:val="none" w:sz="0" w:space="0" w:color="auto"/>
              <w:bottom w:val="none" w:sz="0" w:space="0" w:color="auto"/>
              <w:right w:val="none" w:sz="0" w:space="0" w:color="auto"/>
            </w:tcBorders>
            <w:shd w:val="clear" w:color="auto" w:fill="4F81BD" w:themeFill="accent1"/>
          </w:tcPr>
          <w:p w:rsidR="00695BE1" w:rsidRPr="008B43F6" w:rsidRDefault="00695BE1" w:rsidP="00C12621">
            <w:pPr>
              <w:spacing w:line="276" w:lineRule="auto"/>
              <w:jc w:val="both"/>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8B43F6">
              <w:rPr>
                <w:color w:val="FFFFFF" w:themeColor="background1"/>
                <w:sz w:val="18"/>
                <w:szCs w:val="18"/>
              </w:rPr>
              <w:t xml:space="preserve">Gasto </w:t>
            </w:r>
            <w:r w:rsidR="00C77BAE" w:rsidRPr="008B43F6">
              <w:rPr>
                <w:color w:val="FFFFFF" w:themeColor="background1"/>
                <w:sz w:val="18"/>
                <w:szCs w:val="18"/>
              </w:rPr>
              <w:t xml:space="preserve"> </w:t>
            </w:r>
            <w:r w:rsidRPr="008B43F6">
              <w:rPr>
                <w:color w:val="FFFFFF" w:themeColor="background1"/>
                <w:sz w:val="18"/>
                <w:szCs w:val="18"/>
              </w:rPr>
              <w:t>monetario en leña</w:t>
            </w:r>
          </w:p>
        </w:tc>
      </w:tr>
      <w:tr w:rsidR="00695BE1" w:rsidRPr="008B43F6" w:rsidTr="00CA4E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4" w:type="dxa"/>
            <w:tcBorders>
              <w:left w:val="none" w:sz="0" w:space="0" w:color="auto"/>
              <w:right w:val="none" w:sz="0" w:space="0" w:color="auto"/>
            </w:tcBorders>
            <w:shd w:val="clear" w:color="auto" w:fill="FFFFFF" w:themeFill="background1"/>
          </w:tcPr>
          <w:p w:rsidR="00695BE1" w:rsidRPr="008B43F6" w:rsidRDefault="00695BE1" w:rsidP="00C12621">
            <w:pPr>
              <w:spacing w:line="276" w:lineRule="auto"/>
              <w:jc w:val="both"/>
              <w:rPr>
                <w:b w:val="0"/>
                <w:color w:val="auto"/>
                <w:sz w:val="18"/>
                <w:szCs w:val="18"/>
              </w:rPr>
            </w:pPr>
            <w:r w:rsidRPr="008B43F6">
              <w:rPr>
                <w:b w:val="0"/>
                <w:color w:val="auto"/>
                <w:sz w:val="18"/>
                <w:szCs w:val="18"/>
              </w:rPr>
              <w:t>I</w:t>
            </w:r>
          </w:p>
        </w:tc>
        <w:tc>
          <w:tcPr>
            <w:tcW w:w="2244" w:type="dxa"/>
            <w:tcBorders>
              <w:left w:val="none" w:sz="0" w:space="0" w:color="auto"/>
              <w:right w:val="none" w:sz="0" w:space="0" w:color="auto"/>
            </w:tcBorders>
            <w:shd w:val="clear" w:color="auto" w:fill="FFFFFF" w:themeFill="background1"/>
          </w:tcPr>
          <w:p w:rsidR="00695BE1" w:rsidRPr="008B43F6" w:rsidRDefault="00757A34" w:rsidP="00C12621">
            <w:pPr>
              <w:spacing w:line="276" w:lineRule="auto"/>
              <w:jc w:val="both"/>
              <w:cnfStyle w:val="000000100000" w:firstRow="0" w:lastRow="0" w:firstColumn="0" w:lastColumn="0" w:oddVBand="0" w:evenVBand="0" w:oddHBand="1" w:evenHBand="0" w:firstRowFirstColumn="0" w:firstRowLastColumn="0" w:lastRowFirstColumn="0" w:lastRowLastColumn="0"/>
              <w:rPr>
                <w:color w:val="auto"/>
                <w:sz w:val="18"/>
                <w:szCs w:val="18"/>
              </w:rPr>
            </w:pPr>
            <w:r w:rsidRPr="008B43F6">
              <w:rPr>
                <w:color w:val="auto"/>
                <w:sz w:val="18"/>
                <w:szCs w:val="18"/>
              </w:rPr>
              <w:t>1,164</w:t>
            </w:r>
          </w:p>
        </w:tc>
        <w:tc>
          <w:tcPr>
            <w:tcW w:w="2245" w:type="dxa"/>
            <w:tcBorders>
              <w:left w:val="none" w:sz="0" w:space="0" w:color="auto"/>
              <w:right w:val="none" w:sz="0" w:space="0" w:color="auto"/>
            </w:tcBorders>
            <w:shd w:val="clear" w:color="auto" w:fill="FFFFFF" w:themeFill="background1"/>
          </w:tcPr>
          <w:p w:rsidR="00695BE1" w:rsidRPr="008B43F6" w:rsidRDefault="00757A34" w:rsidP="00C12621">
            <w:pPr>
              <w:spacing w:line="276" w:lineRule="auto"/>
              <w:jc w:val="both"/>
              <w:cnfStyle w:val="000000100000" w:firstRow="0" w:lastRow="0" w:firstColumn="0" w:lastColumn="0" w:oddVBand="0" w:evenVBand="0" w:oddHBand="1" w:evenHBand="0" w:firstRowFirstColumn="0" w:firstRowLastColumn="0" w:lastRowFirstColumn="0" w:lastRowLastColumn="0"/>
              <w:rPr>
                <w:color w:val="auto"/>
                <w:sz w:val="18"/>
                <w:szCs w:val="18"/>
              </w:rPr>
            </w:pPr>
            <w:r w:rsidRPr="008B43F6">
              <w:rPr>
                <w:color w:val="auto"/>
                <w:sz w:val="18"/>
                <w:szCs w:val="18"/>
              </w:rPr>
              <w:t>1,322</w:t>
            </w:r>
          </w:p>
        </w:tc>
        <w:tc>
          <w:tcPr>
            <w:tcW w:w="2245" w:type="dxa"/>
            <w:tcBorders>
              <w:left w:val="none" w:sz="0" w:space="0" w:color="auto"/>
              <w:right w:val="none" w:sz="0" w:space="0" w:color="auto"/>
            </w:tcBorders>
            <w:shd w:val="clear" w:color="auto" w:fill="FFFFFF" w:themeFill="background1"/>
          </w:tcPr>
          <w:p w:rsidR="00695BE1" w:rsidRPr="008B43F6" w:rsidRDefault="00757A34" w:rsidP="00C12621">
            <w:pPr>
              <w:spacing w:line="276" w:lineRule="auto"/>
              <w:jc w:val="both"/>
              <w:cnfStyle w:val="000000100000" w:firstRow="0" w:lastRow="0" w:firstColumn="0" w:lastColumn="0" w:oddVBand="0" w:evenVBand="0" w:oddHBand="1" w:evenHBand="0" w:firstRowFirstColumn="0" w:firstRowLastColumn="0" w:lastRowFirstColumn="0" w:lastRowLastColumn="0"/>
              <w:rPr>
                <w:color w:val="auto"/>
                <w:sz w:val="18"/>
                <w:szCs w:val="18"/>
              </w:rPr>
            </w:pPr>
            <w:r w:rsidRPr="008B43F6">
              <w:rPr>
                <w:color w:val="auto"/>
                <w:sz w:val="18"/>
                <w:szCs w:val="18"/>
              </w:rPr>
              <w:t>663</w:t>
            </w:r>
          </w:p>
        </w:tc>
      </w:tr>
      <w:tr w:rsidR="00695BE1" w:rsidRPr="008B43F6" w:rsidTr="00CA4EF0">
        <w:tc>
          <w:tcPr>
            <w:cnfStyle w:val="001000000000" w:firstRow="0" w:lastRow="0" w:firstColumn="1" w:lastColumn="0" w:oddVBand="0" w:evenVBand="0" w:oddHBand="0" w:evenHBand="0" w:firstRowFirstColumn="0" w:firstRowLastColumn="0" w:lastRowFirstColumn="0" w:lastRowLastColumn="0"/>
            <w:tcW w:w="2244" w:type="dxa"/>
            <w:shd w:val="clear" w:color="auto" w:fill="FFFFFF" w:themeFill="background1"/>
          </w:tcPr>
          <w:p w:rsidR="00695BE1" w:rsidRPr="008B43F6" w:rsidRDefault="00695BE1" w:rsidP="00C12621">
            <w:pPr>
              <w:spacing w:line="276" w:lineRule="auto"/>
              <w:jc w:val="both"/>
              <w:rPr>
                <w:b w:val="0"/>
                <w:color w:val="auto"/>
                <w:sz w:val="18"/>
                <w:szCs w:val="18"/>
              </w:rPr>
            </w:pPr>
            <w:r w:rsidRPr="008B43F6">
              <w:rPr>
                <w:b w:val="0"/>
                <w:color w:val="auto"/>
                <w:sz w:val="18"/>
                <w:szCs w:val="18"/>
              </w:rPr>
              <w:t>II</w:t>
            </w:r>
          </w:p>
        </w:tc>
        <w:tc>
          <w:tcPr>
            <w:tcW w:w="2244" w:type="dxa"/>
            <w:shd w:val="clear" w:color="auto" w:fill="FFFFFF" w:themeFill="background1"/>
          </w:tcPr>
          <w:p w:rsidR="00695BE1" w:rsidRPr="008B43F6" w:rsidRDefault="00757A34" w:rsidP="00C12621">
            <w:pPr>
              <w:spacing w:line="276" w:lineRule="auto"/>
              <w:jc w:val="both"/>
              <w:cnfStyle w:val="000000000000" w:firstRow="0" w:lastRow="0" w:firstColumn="0" w:lastColumn="0" w:oddVBand="0" w:evenVBand="0" w:oddHBand="0" w:evenHBand="0" w:firstRowFirstColumn="0" w:firstRowLastColumn="0" w:lastRowFirstColumn="0" w:lastRowLastColumn="0"/>
              <w:rPr>
                <w:color w:val="auto"/>
                <w:sz w:val="18"/>
                <w:szCs w:val="18"/>
              </w:rPr>
            </w:pPr>
            <w:r w:rsidRPr="008B43F6">
              <w:rPr>
                <w:color w:val="auto"/>
                <w:sz w:val="18"/>
                <w:szCs w:val="18"/>
              </w:rPr>
              <w:t>1,374</w:t>
            </w:r>
          </w:p>
        </w:tc>
        <w:tc>
          <w:tcPr>
            <w:tcW w:w="2245" w:type="dxa"/>
            <w:shd w:val="clear" w:color="auto" w:fill="FFFFFF" w:themeFill="background1"/>
          </w:tcPr>
          <w:p w:rsidR="00695BE1" w:rsidRPr="008B43F6" w:rsidRDefault="00757A34" w:rsidP="00C12621">
            <w:pPr>
              <w:spacing w:line="276" w:lineRule="auto"/>
              <w:jc w:val="both"/>
              <w:cnfStyle w:val="000000000000" w:firstRow="0" w:lastRow="0" w:firstColumn="0" w:lastColumn="0" w:oddVBand="0" w:evenVBand="0" w:oddHBand="0" w:evenHBand="0" w:firstRowFirstColumn="0" w:firstRowLastColumn="0" w:lastRowFirstColumn="0" w:lastRowLastColumn="0"/>
              <w:rPr>
                <w:color w:val="auto"/>
                <w:sz w:val="18"/>
                <w:szCs w:val="18"/>
              </w:rPr>
            </w:pPr>
            <w:r w:rsidRPr="008B43F6">
              <w:rPr>
                <w:color w:val="auto"/>
                <w:sz w:val="18"/>
                <w:szCs w:val="18"/>
              </w:rPr>
              <w:t>1,536</w:t>
            </w:r>
          </w:p>
        </w:tc>
        <w:tc>
          <w:tcPr>
            <w:tcW w:w="2245" w:type="dxa"/>
            <w:shd w:val="clear" w:color="auto" w:fill="FFFFFF" w:themeFill="background1"/>
          </w:tcPr>
          <w:p w:rsidR="00695BE1" w:rsidRPr="008B43F6" w:rsidRDefault="00757A34" w:rsidP="00C12621">
            <w:pPr>
              <w:spacing w:line="276" w:lineRule="auto"/>
              <w:jc w:val="both"/>
              <w:cnfStyle w:val="000000000000" w:firstRow="0" w:lastRow="0" w:firstColumn="0" w:lastColumn="0" w:oddVBand="0" w:evenVBand="0" w:oddHBand="0" w:evenHBand="0" w:firstRowFirstColumn="0" w:firstRowLastColumn="0" w:lastRowFirstColumn="0" w:lastRowLastColumn="0"/>
              <w:rPr>
                <w:color w:val="auto"/>
                <w:sz w:val="18"/>
                <w:szCs w:val="18"/>
              </w:rPr>
            </w:pPr>
            <w:r w:rsidRPr="008B43F6">
              <w:rPr>
                <w:color w:val="auto"/>
                <w:sz w:val="18"/>
                <w:szCs w:val="18"/>
              </w:rPr>
              <w:t>646</w:t>
            </w:r>
          </w:p>
        </w:tc>
      </w:tr>
      <w:tr w:rsidR="00695BE1" w:rsidRPr="008B43F6" w:rsidTr="00CA4E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4" w:type="dxa"/>
            <w:tcBorders>
              <w:left w:val="none" w:sz="0" w:space="0" w:color="auto"/>
              <w:right w:val="none" w:sz="0" w:space="0" w:color="auto"/>
            </w:tcBorders>
            <w:shd w:val="clear" w:color="auto" w:fill="FFFFFF" w:themeFill="background1"/>
          </w:tcPr>
          <w:p w:rsidR="00695BE1" w:rsidRPr="008B43F6" w:rsidRDefault="00695BE1" w:rsidP="00C12621">
            <w:pPr>
              <w:spacing w:line="276" w:lineRule="auto"/>
              <w:jc w:val="both"/>
              <w:rPr>
                <w:b w:val="0"/>
                <w:color w:val="auto"/>
                <w:sz w:val="18"/>
                <w:szCs w:val="18"/>
              </w:rPr>
            </w:pPr>
            <w:r w:rsidRPr="008B43F6">
              <w:rPr>
                <w:b w:val="0"/>
                <w:color w:val="auto"/>
                <w:sz w:val="18"/>
                <w:szCs w:val="18"/>
              </w:rPr>
              <w:t>III</w:t>
            </w:r>
          </w:p>
        </w:tc>
        <w:tc>
          <w:tcPr>
            <w:tcW w:w="2244" w:type="dxa"/>
            <w:tcBorders>
              <w:left w:val="none" w:sz="0" w:space="0" w:color="auto"/>
              <w:right w:val="none" w:sz="0" w:space="0" w:color="auto"/>
            </w:tcBorders>
            <w:shd w:val="clear" w:color="auto" w:fill="FFFFFF" w:themeFill="background1"/>
          </w:tcPr>
          <w:p w:rsidR="00695BE1" w:rsidRPr="008B43F6" w:rsidRDefault="00757A34" w:rsidP="00C12621">
            <w:pPr>
              <w:spacing w:line="276" w:lineRule="auto"/>
              <w:jc w:val="both"/>
              <w:cnfStyle w:val="000000100000" w:firstRow="0" w:lastRow="0" w:firstColumn="0" w:lastColumn="0" w:oddVBand="0" w:evenVBand="0" w:oddHBand="1" w:evenHBand="0" w:firstRowFirstColumn="0" w:firstRowLastColumn="0" w:lastRowFirstColumn="0" w:lastRowLastColumn="0"/>
              <w:rPr>
                <w:color w:val="auto"/>
                <w:sz w:val="18"/>
                <w:szCs w:val="18"/>
              </w:rPr>
            </w:pPr>
            <w:r w:rsidRPr="008B43F6">
              <w:rPr>
                <w:color w:val="auto"/>
                <w:sz w:val="18"/>
                <w:szCs w:val="18"/>
              </w:rPr>
              <w:t>1,621</w:t>
            </w:r>
          </w:p>
        </w:tc>
        <w:tc>
          <w:tcPr>
            <w:tcW w:w="2245" w:type="dxa"/>
            <w:tcBorders>
              <w:left w:val="none" w:sz="0" w:space="0" w:color="auto"/>
              <w:right w:val="none" w:sz="0" w:space="0" w:color="auto"/>
            </w:tcBorders>
            <w:shd w:val="clear" w:color="auto" w:fill="FFFFFF" w:themeFill="background1"/>
          </w:tcPr>
          <w:p w:rsidR="00695BE1" w:rsidRPr="008B43F6" w:rsidRDefault="00757A34" w:rsidP="00C12621">
            <w:pPr>
              <w:spacing w:line="276" w:lineRule="auto"/>
              <w:jc w:val="both"/>
              <w:cnfStyle w:val="000000100000" w:firstRow="0" w:lastRow="0" w:firstColumn="0" w:lastColumn="0" w:oddVBand="0" w:evenVBand="0" w:oddHBand="1" w:evenHBand="0" w:firstRowFirstColumn="0" w:firstRowLastColumn="0" w:lastRowFirstColumn="0" w:lastRowLastColumn="0"/>
              <w:rPr>
                <w:color w:val="auto"/>
                <w:sz w:val="18"/>
                <w:szCs w:val="18"/>
              </w:rPr>
            </w:pPr>
            <w:r w:rsidRPr="008B43F6">
              <w:rPr>
                <w:color w:val="auto"/>
                <w:sz w:val="18"/>
                <w:szCs w:val="18"/>
              </w:rPr>
              <w:t>1,664</w:t>
            </w:r>
          </w:p>
        </w:tc>
        <w:tc>
          <w:tcPr>
            <w:tcW w:w="2245" w:type="dxa"/>
            <w:tcBorders>
              <w:left w:val="none" w:sz="0" w:space="0" w:color="auto"/>
              <w:right w:val="none" w:sz="0" w:space="0" w:color="auto"/>
            </w:tcBorders>
            <w:shd w:val="clear" w:color="auto" w:fill="FFFFFF" w:themeFill="background1"/>
          </w:tcPr>
          <w:p w:rsidR="00695BE1" w:rsidRPr="008B43F6" w:rsidRDefault="00757A34" w:rsidP="00C12621">
            <w:pPr>
              <w:spacing w:line="276" w:lineRule="auto"/>
              <w:jc w:val="both"/>
              <w:cnfStyle w:val="000000100000" w:firstRow="0" w:lastRow="0" w:firstColumn="0" w:lastColumn="0" w:oddVBand="0" w:evenVBand="0" w:oddHBand="1" w:evenHBand="0" w:firstRowFirstColumn="0" w:firstRowLastColumn="0" w:lastRowFirstColumn="0" w:lastRowLastColumn="0"/>
              <w:rPr>
                <w:color w:val="auto"/>
                <w:sz w:val="18"/>
                <w:szCs w:val="18"/>
              </w:rPr>
            </w:pPr>
            <w:r w:rsidRPr="008B43F6">
              <w:rPr>
                <w:color w:val="auto"/>
                <w:sz w:val="18"/>
                <w:szCs w:val="18"/>
              </w:rPr>
              <w:t>639</w:t>
            </w:r>
          </w:p>
        </w:tc>
      </w:tr>
      <w:tr w:rsidR="00695BE1" w:rsidRPr="008B43F6" w:rsidTr="00CA4EF0">
        <w:tc>
          <w:tcPr>
            <w:cnfStyle w:val="001000000000" w:firstRow="0" w:lastRow="0" w:firstColumn="1" w:lastColumn="0" w:oddVBand="0" w:evenVBand="0" w:oddHBand="0" w:evenHBand="0" w:firstRowFirstColumn="0" w:firstRowLastColumn="0" w:lastRowFirstColumn="0" w:lastRowLastColumn="0"/>
            <w:tcW w:w="2244" w:type="dxa"/>
            <w:shd w:val="clear" w:color="auto" w:fill="FFFFFF" w:themeFill="background1"/>
          </w:tcPr>
          <w:p w:rsidR="00695BE1" w:rsidRPr="008B43F6" w:rsidRDefault="00695BE1" w:rsidP="00C12621">
            <w:pPr>
              <w:spacing w:line="276" w:lineRule="auto"/>
              <w:jc w:val="both"/>
              <w:rPr>
                <w:b w:val="0"/>
                <w:color w:val="auto"/>
                <w:sz w:val="18"/>
                <w:szCs w:val="18"/>
              </w:rPr>
            </w:pPr>
            <w:r w:rsidRPr="008B43F6">
              <w:rPr>
                <w:b w:val="0"/>
                <w:color w:val="auto"/>
                <w:sz w:val="18"/>
                <w:szCs w:val="18"/>
              </w:rPr>
              <w:t>IV</w:t>
            </w:r>
          </w:p>
        </w:tc>
        <w:tc>
          <w:tcPr>
            <w:tcW w:w="2244" w:type="dxa"/>
            <w:shd w:val="clear" w:color="auto" w:fill="FFFFFF" w:themeFill="background1"/>
          </w:tcPr>
          <w:p w:rsidR="00695BE1" w:rsidRPr="008B43F6" w:rsidRDefault="00757A34" w:rsidP="00C12621">
            <w:pPr>
              <w:spacing w:line="276" w:lineRule="auto"/>
              <w:jc w:val="both"/>
              <w:cnfStyle w:val="000000000000" w:firstRow="0" w:lastRow="0" w:firstColumn="0" w:lastColumn="0" w:oddVBand="0" w:evenVBand="0" w:oddHBand="0" w:evenHBand="0" w:firstRowFirstColumn="0" w:firstRowLastColumn="0" w:lastRowFirstColumn="0" w:lastRowLastColumn="0"/>
              <w:rPr>
                <w:color w:val="auto"/>
                <w:sz w:val="18"/>
                <w:szCs w:val="18"/>
              </w:rPr>
            </w:pPr>
            <w:r w:rsidRPr="008B43F6">
              <w:rPr>
                <w:color w:val="auto"/>
                <w:sz w:val="18"/>
                <w:szCs w:val="18"/>
              </w:rPr>
              <w:t>1,913</w:t>
            </w:r>
          </w:p>
        </w:tc>
        <w:tc>
          <w:tcPr>
            <w:tcW w:w="2245" w:type="dxa"/>
            <w:shd w:val="clear" w:color="auto" w:fill="FFFFFF" w:themeFill="background1"/>
          </w:tcPr>
          <w:p w:rsidR="00695BE1" w:rsidRPr="008B43F6" w:rsidRDefault="00757A34" w:rsidP="00C12621">
            <w:pPr>
              <w:spacing w:line="276" w:lineRule="auto"/>
              <w:jc w:val="both"/>
              <w:cnfStyle w:val="000000000000" w:firstRow="0" w:lastRow="0" w:firstColumn="0" w:lastColumn="0" w:oddVBand="0" w:evenVBand="0" w:oddHBand="0" w:evenHBand="0" w:firstRowFirstColumn="0" w:firstRowLastColumn="0" w:lastRowFirstColumn="0" w:lastRowLastColumn="0"/>
              <w:rPr>
                <w:color w:val="auto"/>
                <w:sz w:val="18"/>
                <w:szCs w:val="18"/>
              </w:rPr>
            </w:pPr>
            <w:r w:rsidRPr="008B43F6">
              <w:rPr>
                <w:color w:val="auto"/>
                <w:sz w:val="18"/>
                <w:szCs w:val="18"/>
              </w:rPr>
              <w:t>1,867</w:t>
            </w:r>
          </w:p>
        </w:tc>
        <w:tc>
          <w:tcPr>
            <w:tcW w:w="2245" w:type="dxa"/>
            <w:shd w:val="clear" w:color="auto" w:fill="FFFFFF" w:themeFill="background1"/>
          </w:tcPr>
          <w:p w:rsidR="00695BE1" w:rsidRPr="008B43F6" w:rsidRDefault="00757A34" w:rsidP="00C12621">
            <w:pPr>
              <w:spacing w:line="276" w:lineRule="auto"/>
              <w:jc w:val="both"/>
              <w:cnfStyle w:val="000000000000" w:firstRow="0" w:lastRow="0" w:firstColumn="0" w:lastColumn="0" w:oddVBand="0" w:evenVBand="0" w:oddHBand="0" w:evenHBand="0" w:firstRowFirstColumn="0" w:firstRowLastColumn="0" w:lastRowFirstColumn="0" w:lastRowLastColumn="0"/>
              <w:rPr>
                <w:color w:val="auto"/>
                <w:sz w:val="18"/>
                <w:szCs w:val="18"/>
              </w:rPr>
            </w:pPr>
            <w:r w:rsidRPr="008B43F6">
              <w:rPr>
                <w:color w:val="auto"/>
                <w:sz w:val="18"/>
                <w:szCs w:val="18"/>
              </w:rPr>
              <w:t>613</w:t>
            </w:r>
          </w:p>
        </w:tc>
      </w:tr>
      <w:tr w:rsidR="00695BE1" w:rsidRPr="008B43F6" w:rsidTr="00CA4E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4" w:type="dxa"/>
            <w:tcBorders>
              <w:left w:val="none" w:sz="0" w:space="0" w:color="auto"/>
              <w:right w:val="none" w:sz="0" w:space="0" w:color="auto"/>
            </w:tcBorders>
            <w:shd w:val="clear" w:color="auto" w:fill="FFFFFF" w:themeFill="background1"/>
          </w:tcPr>
          <w:p w:rsidR="00695BE1" w:rsidRPr="008B43F6" w:rsidRDefault="00695BE1" w:rsidP="00C12621">
            <w:pPr>
              <w:spacing w:line="276" w:lineRule="auto"/>
              <w:jc w:val="both"/>
              <w:rPr>
                <w:b w:val="0"/>
                <w:color w:val="auto"/>
                <w:sz w:val="18"/>
                <w:szCs w:val="18"/>
              </w:rPr>
            </w:pPr>
            <w:r w:rsidRPr="008B43F6">
              <w:rPr>
                <w:b w:val="0"/>
                <w:color w:val="auto"/>
                <w:sz w:val="18"/>
                <w:szCs w:val="18"/>
              </w:rPr>
              <w:t>V</w:t>
            </w:r>
          </w:p>
        </w:tc>
        <w:tc>
          <w:tcPr>
            <w:tcW w:w="2244" w:type="dxa"/>
            <w:tcBorders>
              <w:left w:val="none" w:sz="0" w:space="0" w:color="auto"/>
              <w:right w:val="none" w:sz="0" w:space="0" w:color="auto"/>
            </w:tcBorders>
            <w:shd w:val="clear" w:color="auto" w:fill="FFFFFF" w:themeFill="background1"/>
          </w:tcPr>
          <w:p w:rsidR="00695BE1" w:rsidRPr="008B43F6" w:rsidRDefault="00757A34" w:rsidP="00C12621">
            <w:pPr>
              <w:spacing w:line="276" w:lineRule="auto"/>
              <w:jc w:val="both"/>
              <w:cnfStyle w:val="000000100000" w:firstRow="0" w:lastRow="0" w:firstColumn="0" w:lastColumn="0" w:oddVBand="0" w:evenVBand="0" w:oddHBand="1" w:evenHBand="0" w:firstRowFirstColumn="0" w:firstRowLastColumn="0" w:lastRowFirstColumn="0" w:lastRowLastColumn="0"/>
              <w:rPr>
                <w:color w:val="auto"/>
                <w:sz w:val="18"/>
                <w:szCs w:val="18"/>
              </w:rPr>
            </w:pPr>
            <w:r w:rsidRPr="008B43F6">
              <w:rPr>
                <w:color w:val="auto"/>
                <w:sz w:val="18"/>
                <w:szCs w:val="18"/>
              </w:rPr>
              <w:t>2,258</w:t>
            </w:r>
          </w:p>
        </w:tc>
        <w:tc>
          <w:tcPr>
            <w:tcW w:w="2245" w:type="dxa"/>
            <w:tcBorders>
              <w:left w:val="none" w:sz="0" w:space="0" w:color="auto"/>
              <w:right w:val="none" w:sz="0" w:space="0" w:color="auto"/>
            </w:tcBorders>
            <w:shd w:val="clear" w:color="auto" w:fill="FFFFFF" w:themeFill="background1"/>
          </w:tcPr>
          <w:p w:rsidR="00695BE1" w:rsidRPr="008B43F6" w:rsidRDefault="00757A34" w:rsidP="00C12621">
            <w:pPr>
              <w:spacing w:line="276" w:lineRule="auto"/>
              <w:jc w:val="both"/>
              <w:cnfStyle w:val="000000100000" w:firstRow="0" w:lastRow="0" w:firstColumn="0" w:lastColumn="0" w:oddVBand="0" w:evenVBand="0" w:oddHBand="1" w:evenHBand="0" w:firstRowFirstColumn="0" w:firstRowLastColumn="0" w:lastRowFirstColumn="0" w:lastRowLastColumn="0"/>
              <w:rPr>
                <w:color w:val="auto"/>
                <w:sz w:val="18"/>
                <w:szCs w:val="18"/>
              </w:rPr>
            </w:pPr>
            <w:r w:rsidRPr="008B43F6">
              <w:rPr>
                <w:color w:val="auto"/>
                <w:sz w:val="18"/>
                <w:szCs w:val="18"/>
              </w:rPr>
              <w:t>1,999</w:t>
            </w:r>
          </w:p>
        </w:tc>
        <w:tc>
          <w:tcPr>
            <w:tcW w:w="2245" w:type="dxa"/>
            <w:tcBorders>
              <w:left w:val="none" w:sz="0" w:space="0" w:color="auto"/>
              <w:right w:val="none" w:sz="0" w:space="0" w:color="auto"/>
            </w:tcBorders>
            <w:shd w:val="clear" w:color="auto" w:fill="FFFFFF" w:themeFill="background1"/>
          </w:tcPr>
          <w:p w:rsidR="00695BE1" w:rsidRPr="008B43F6" w:rsidRDefault="00757A34" w:rsidP="00C12621">
            <w:pPr>
              <w:spacing w:line="276" w:lineRule="auto"/>
              <w:jc w:val="both"/>
              <w:cnfStyle w:val="000000100000" w:firstRow="0" w:lastRow="0" w:firstColumn="0" w:lastColumn="0" w:oddVBand="0" w:evenVBand="0" w:oddHBand="1" w:evenHBand="0" w:firstRowFirstColumn="0" w:firstRowLastColumn="0" w:lastRowFirstColumn="0" w:lastRowLastColumn="0"/>
              <w:rPr>
                <w:color w:val="auto"/>
                <w:sz w:val="18"/>
                <w:szCs w:val="18"/>
              </w:rPr>
            </w:pPr>
            <w:r w:rsidRPr="008B43F6">
              <w:rPr>
                <w:color w:val="auto"/>
                <w:sz w:val="18"/>
                <w:szCs w:val="18"/>
              </w:rPr>
              <w:t>600</w:t>
            </w:r>
          </w:p>
        </w:tc>
      </w:tr>
      <w:tr w:rsidR="00695BE1" w:rsidRPr="008B43F6" w:rsidTr="00CA4EF0">
        <w:tc>
          <w:tcPr>
            <w:cnfStyle w:val="001000000000" w:firstRow="0" w:lastRow="0" w:firstColumn="1" w:lastColumn="0" w:oddVBand="0" w:evenVBand="0" w:oddHBand="0" w:evenHBand="0" w:firstRowFirstColumn="0" w:firstRowLastColumn="0" w:lastRowFirstColumn="0" w:lastRowLastColumn="0"/>
            <w:tcW w:w="2244" w:type="dxa"/>
            <w:shd w:val="clear" w:color="auto" w:fill="FFFFFF" w:themeFill="background1"/>
          </w:tcPr>
          <w:p w:rsidR="00695BE1" w:rsidRPr="008B43F6" w:rsidRDefault="00695BE1" w:rsidP="00C12621">
            <w:pPr>
              <w:spacing w:line="276" w:lineRule="auto"/>
              <w:jc w:val="both"/>
              <w:rPr>
                <w:b w:val="0"/>
                <w:color w:val="auto"/>
                <w:sz w:val="18"/>
                <w:szCs w:val="18"/>
              </w:rPr>
            </w:pPr>
            <w:r w:rsidRPr="008B43F6">
              <w:rPr>
                <w:b w:val="0"/>
                <w:color w:val="auto"/>
                <w:sz w:val="18"/>
                <w:szCs w:val="18"/>
              </w:rPr>
              <w:t>VI</w:t>
            </w:r>
          </w:p>
        </w:tc>
        <w:tc>
          <w:tcPr>
            <w:tcW w:w="2244" w:type="dxa"/>
            <w:shd w:val="clear" w:color="auto" w:fill="FFFFFF" w:themeFill="background1"/>
          </w:tcPr>
          <w:p w:rsidR="00695BE1" w:rsidRPr="008B43F6" w:rsidRDefault="00757A34" w:rsidP="00C12621">
            <w:pPr>
              <w:spacing w:line="276" w:lineRule="auto"/>
              <w:jc w:val="both"/>
              <w:cnfStyle w:val="000000000000" w:firstRow="0" w:lastRow="0" w:firstColumn="0" w:lastColumn="0" w:oddVBand="0" w:evenVBand="0" w:oddHBand="0" w:evenHBand="0" w:firstRowFirstColumn="0" w:firstRowLastColumn="0" w:lastRowFirstColumn="0" w:lastRowLastColumn="0"/>
              <w:rPr>
                <w:color w:val="auto"/>
                <w:sz w:val="18"/>
                <w:szCs w:val="18"/>
              </w:rPr>
            </w:pPr>
            <w:r w:rsidRPr="008B43F6">
              <w:rPr>
                <w:color w:val="auto"/>
                <w:sz w:val="18"/>
                <w:szCs w:val="18"/>
              </w:rPr>
              <w:t>2,666</w:t>
            </w:r>
          </w:p>
        </w:tc>
        <w:tc>
          <w:tcPr>
            <w:tcW w:w="2245" w:type="dxa"/>
            <w:shd w:val="clear" w:color="auto" w:fill="FFFFFF" w:themeFill="background1"/>
          </w:tcPr>
          <w:p w:rsidR="00695BE1" w:rsidRPr="008B43F6" w:rsidRDefault="00757A34" w:rsidP="00C12621">
            <w:pPr>
              <w:spacing w:line="276" w:lineRule="auto"/>
              <w:jc w:val="both"/>
              <w:cnfStyle w:val="000000000000" w:firstRow="0" w:lastRow="0" w:firstColumn="0" w:lastColumn="0" w:oddVBand="0" w:evenVBand="0" w:oddHBand="0" w:evenHBand="0" w:firstRowFirstColumn="0" w:firstRowLastColumn="0" w:lastRowFirstColumn="0" w:lastRowLastColumn="0"/>
              <w:rPr>
                <w:color w:val="auto"/>
                <w:sz w:val="18"/>
                <w:szCs w:val="18"/>
              </w:rPr>
            </w:pPr>
            <w:r w:rsidRPr="008B43F6">
              <w:rPr>
                <w:color w:val="auto"/>
                <w:sz w:val="18"/>
                <w:szCs w:val="18"/>
              </w:rPr>
              <w:t>2,141</w:t>
            </w:r>
          </w:p>
        </w:tc>
        <w:tc>
          <w:tcPr>
            <w:tcW w:w="2245" w:type="dxa"/>
            <w:shd w:val="clear" w:color="auto" w:fill="FFFFFF" w:themeFill="background1"/>
          </w:tcPr>
          <w:p w:rsidR="00695BE1" w:rsidRPr="008B43F6" w:rsidRDefault="00757A34" w:rsidP="00C12621">
            <w:pPr>
              <w:spacing w:line="276" w:lineRule="auto"/>
              <w:jc w:val="both"/>
              <w:cnfStyle w:val="000000000000" w:firstRow="0" w:lastRow="0" w:firstColumn="0" w:lastColumn="0" w:oddVBand="0" w:evenVBand="0" w:oddHBand="0" w:evenHBand="0" w:firstRowFirstColumn="0" w:firstRowLastColumn="0" w:lastRowFirstColumn="0" w:lastRowLastColumn="0"/>
              <w:rPr>
                <w:color w:val="auto"/>
                <w:sz w:val="18"/>
                <w:szCs w:val="18"/>
              </w:rPr>
            </w:pPr>
            <w:r w:rsidRPr="008B43F6">
              <w:rPr>
                <w:color w:val="auto"/>
                <w:sz w:val="18"/>
                <w:szCs w:val="18"/>
              </w:rPr>
              <w:t>589</w:t>
            </w:r>
          </w:p>
        </w:tc>
      </w:tr>
      <w:tr w:rsidR="00695BE1" w:rsidRPr="008B43F6" w:rsidTr="00CA4E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4" w:type="dxa"/>
            <w:tcBorders>
              <w:left w:val="none" w:sz="0" w:space="0" w:color="auto"/>
              <w:right w:val="none" w:sz="0" w:space="0" w:color="auto"/>
            </w:tcBorders>
            <w:shd w:val="clear" w:color="auto" w:fill="FFFFFF" w:themeFill="background1"/>
          </w:tcPr>
          <w:p w:rsidR="00695BE1" w:rsidRPr="008B43F6" w:rsidRDefault="00695BE1" w:rsidP="00C12621">
            <w:pPr>
              <w:spacing w:line="276" w:lineRule="auto"/>
              <w:jc w:val="both"/>
              <w:rPr>
                <w:b w:val="0"/>
                <w:color w:val="auto"/>
                <w:sz w:val="18"/>
                <w:szCs w:val="18"/>
              </w:rPr>
            </w:pPr>
            <w:r w:rsidRPr="008B43F6">
              <w:rPr>
                <w:b w:val="0"/>
                <w:color w:val="auto"/>
                <w:sz w:val="18"/>
                <w:szCs w:val="18"/>
              </w:rPr>
              <w:t>VII</w:t>
            </w:r>
          </w:p>
        </w:tc>
        <w:tc>
          <w:tcPr>
            <w:tcW w:w="2244" w:type="dxa"/>
            <w:tcBorders>
              <w:left w:val="none" w:sz="0" w:space="0" w:color="auto"/>
              <w:right w:val="none" w:sz="0" w:space="0" w:color="auto"/>
            </w:tcBorders>
            <w:shd w:val="clear" w:color="auto" w:fill="FFFFFF" w:themeFill="background1"/>
          </w:tcPr>
          <w:p w:rsidR="00695BE1" w:rsidRPr="008B43F6" w:rsidRDefault="00757A34" w:rsidP="00C12621">
            <w:pPr>
              <w:spacing w:line="276" w:lineRule="auto"/>
              <w:jc w:val="both"/>
              <w:cnfStyle w:val="000000100000" w:firstRow="0" w:lastRow="0" w:firstColumn="0" w:lastColumn="0" w:oddVBand="0" w:evenVBand="0" w:oddHBand="1" w:evenHBand="0" w:firstRowFirstColumn="0" w:firstRowLastColumn="0" w:lastRowFirstColumn="0" w:lastRowLastColumn="0"/>
              <w:rPr>
                <w:color w:val="auto"/>
                <w:sz w:val="18"/>
                <w:szCs w:val="18"/>
              </w:rPr>
            </w:pPr>
            <w:r w:rsidRPr="008B43F6">
              <w:rPr>
                <w:color w:val="auto"/>
                <w:sz w:val="18"/>
                <w:szCs w:val="18"/>
              </w:rPr>
              <w:t>3,152</w:t>
            </w:r>
          </w:p>
        </w:tc>
        <w:tc>
          <w:tcPr>
            <w:tcW w:w="2245" w:type="dxa"/>
            <w:tcBorders>
              <w:left w:val="none" w:sz="0" w:space="0" w:color="auto"/>
              <w:right w:val="none" w:sz="0" w:space="0" w:color="auto"/>
            </w:tcBorders>
            <w:shd w:val="clear" w:color="auto" w:fill="FFFFFF" w:themeFill="background1"/>
          </w:tcPr>
          <w:p w:rsidR="00695BE1" w:rsidRPr="008B43F6" w:rsidRDefault="00757A34" w:rsidP="00C12621">
            <w:pPr>
              <w:spacing w:line="276" w:lineRule="auto"/>
              <w:jc w:val="both"/>
              <w:cnfStyle w:val="000000100000" w:firstRow="0" w:lastRow="0" w:firstColumn="0" w:lastColumn="0" w:oddVBand="0" w:evenVBand="0" w:oddHBand="1" w:evenHBand="0" w:firstRowFirstColumn="0" w:firstRowLastColumn="0" w:lastRowFirstColumn="0" w:lastRowLastColumn="0"/>
              <w:rPr>
                <w:color w:val="auto"/>
                <w:sz w:val="18"/>
                <w:szCs w:val="18"/>
              </w:rPr>
            </w:pPr>
            <w:r w:rsidRPr="008B43F6">
              <w:rPr>
                <w:color w:val="auto"/>
                <w:sz w:val="18"/>
                <w:szCs w:val="18"/>
              </w:rPr>
              <w:t>2,330</w:t>
            </w:r>
          </w:p>
        </w:tc>
        <w:tc>
          <w:tcPr>
            <w:tcW w:w="2245" w:type="dxa"/>
            <w:tcBorders>
              <w:left w:val="none" w:sz="0" w:space="0" w:color="auto"/>
              <w:right w:val="none" w:sz="0" w:space="0" w:color="auto"/>
            </w:tcBorders>
            <w:shd w:val="clear" w:color="auto" w:fill="FFFFFF" w:themeFill="background1"/>
          </w:tcPr>
          <w:p w:rsidR="00695BE1" w:rsidRPr="008B43F6" w:rsidRDefault="00757A34" w:rsidP="00C12621">
            <w:pPr>
              <w:spacing w:line="276" w:lineRule="auto"/>
              <w:jc w:val="both"/>
              <w:cnfStyle w:val="000000100000" w:firstRow="0" w:lastRow="0" w:firstColumn="0" w:lastColumn="0" w:oddVBand="0" w:evenVBand="0" w:oddHBand="1" w:evenHBand="0" w:firstRowFirstColumn="0" w:firstRowLastColumn="0" w:lastRowFirstColumn="0" w:lastRowLastColumn="0"/>
              <w:rPr>
                <w:color w:val="auto"/>
                <w:sz w:val="18"/>
                <w:szCs w:val="18"/>
              </w:rPr>
            </w:pPr>
            <w:r w:rsidRPr="008B43F6">
              <w:rPr>
                <w:color w:val="auto"/>
                <w:sz w:val="18"/>
                <w:szCs w:val="18"/>
              </w:rPr>
              <w:t>568</w:t>
            </w:r>
          </w:p>
        </w:tc>
      </w:tr>
      <w:tr w:rsidR="00695BE1" w:rsidRPr="008B43F6" w:rsidTr="00CA4EF0">
        <w:tc>
          <w:tcPr>
            <w:cnfStyle w:val="001000000000" w:firstRow="0" w:lastRow="0" w:firstColumn="1" w:lastColumn="0" w:oddVBand="0" w:evenVBand="0" w:oddHBand="0" w:evenHBand="0" w:firstRowFirstColumn="0" w:firstRowLastColumn="0" w:lastRowFirstColumn="0" w:lastRowLastColumn="0"/>
            <w:tcW w:w="2244" w:type="dxa"/>
            <w:shd w:val="clear" w:color="auto" w:fill="FFFFFF" w:themeFill="background1"/>
          </w:tcPr>
          <w:p w:rsidR="00695BE1" w:rsidRPr="008B43F6" w:rsidRDefault="00695BE1" w:rsidP="00C12621">
            <w:pPr>
              <w:spacing w:line="276" w:lineRule="auto"/>
              <w:jc w:val="both"/>
              <w:rPr>
                <w:b w:val="0"/>
                <w:color w:val="auto"/>
                <w:sz w:val="18"/>
                <w:szCs w:val="18"/>
              </w:rPr>
            </w:pPr>
            <w:r w:rsidRPr="008B43F6">
              <w:rPr>
                <w:b w:val="0"/>
                <w:color w:val="auto"/>
                <w:sz w:val="18"/>
                <w:szCs w:val="18"/>
              </w:rPr>
              <w:t>VIII</w:t>
            </w:r>
          </w:p>
        </w:tc>
        <w:tc>
          <w:tcPr>
            <w:tcW w:w="2244" w:type="dxa"/>
            <w:shd w:val="clear" w:color="auto" w:fill="FFFFFF" w:themeFill="background1"/>
          </w:tcPr>
          <w:p w:rsidR="00695BE1" w:rsidRPr="008B43F6" w:rsidRDefault="00757A34" w:rsidP="00C12621">
            <w:pPr>
              <w:spacing w:line="276" w:lineRule="auto"/>
              <w:jc w:val="both"/>
              <w:cnfStyle w:val="000000000000" w:firstRow="0" w:lastRow="0" w:firstColumn="0" w:lastColumn="0" w:oddVBand="0" w:evenVBand="0" w:oddHBand="0" w:evenHBand="0" w:firstRowFirstColumn="0" w:firstRowLastColumn="0" w:lastRowFirstColumn="0" w:lastRowLastColumn="0"/>
              <w:rPr>
                <w:color w:val="auto"/>
                <w:sz w:val="18"/>
                <w:szCs w:val="18"/>
              </w:rPr>
            </w:pPr>
            <w:r w:rsidRPr="008B43F6">
              <w:rPr>
                <w:color w:val="auto"/>
                <w:sz w:val="18"/>
                <w:szCs w:val="18"/>
              </w:rPr>
              <w:t>3,728</w:t>
            </w:r>
          </w:p>
        </w:tc>
        <w:tc>
          <w:tcPr>
            <w:tcW w:w="2245" w:type="dxa"/>
            <w:shd w:val="clear" w:color="auto" w:fill="FFFFFF" w:themeFill="background1"/>
          </w:tcPr>
          <w:p w:rsidR="00695BE1" w:rsidRPr="008B43F6" w:rsidRDefault="00757A34" w:rsidP="00C12621">
            <w:pPr>
              <w:spacing w:line="276" w:lineRule="auto"/>
              <w:jc w:val="both"/>
              <w:cnfStyle w:val="000000000000" w:firstRow="0" w:lastRow="0" w:firstColumn="0" w:lastColumn="0" w:oddVBand="0" w:evenVBand="0" w:oddHBand="0" w:evenHBand="0" w:firstRowFirstColumn="0" w:firstRowLastColumn="0" w:lastRowFirstColumn="0" w:lastRowLastColumn="0"/>
              <w:rPr>
                <w:color w:val="auto"/>
                <w:sz w:val="18"/>
                <w:szCs w:val="18"/>
              </w:rPr>
            </w:pPr>
            <w:r w:rsidRPr="008B43F6">
              <w:rPr>
                <w:color w:val="auto"/>
                <w:sz w:val="18"/>
                <w:szCs w:val="18"/>
              </w:rPr>
              <w:t>2,597</w:t>
            </w:r>
          </w:p>
        </w:tc>
        <w:tc>
          <w:tcPr>
            <w:tcW w:w="2245" w:type="dxa"/>
            <w:shd w:val="clear" w:color="auto" w:fill="FFFFFF" w:themeFill="background1"/>
          </w:tcPr>
          <w:p w:rsidR="00695BE1" w:rsidRPr="008B43F6" w:rsidRDefault="00757A34" w:rsidP="00C12621">
            <w:pPr>
              <w:spacing w:line="276" w:lineRule="auto"/>
              <w:jc w:val="both"/>
              <w:cnfStyle w:val="000000000000" w:firstRow="0" w:lastRow="0" w:firstColumn="0" w:lastColumn="0" w:oddVBand="0" w:evenVBand="0" w:oddHBand="0" w:evenHBand="0" w:firstRowFirstColumn="0" w:firstRowLastColumn="0" w:lastRowFirstColumn="0" w:lastRowLastColumn="0"/>
              <w:rPr>
                <w:color w:val="auto"/>
                <w:sz w:val="18"/>
                <w:szCs w:val="18"/>
              </w:rPr>
            </w:pPr>
            <w:r w:rsidRPr="008B43F6">
              <w:rPr>
                <w:color w:val="auto"/>
                <w:sz w:val="18"/>
                <w:szCs w:val="18"/>
              </w:rPr>
              <w:t>555</w:t>
            </w:r>
          </w:p>
        </w:tc>
      </w:tr>
      <w:tr w:rsidR="00695BE1" w:rsidRPr="008B43F6" w:rsidTr="00CA4E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4" w:type="dxa"/>
            <w:tcBorders>
              <w:left w:val="none" w:sz="0" w:space="0" w:color="auto"/>
              <w:right w:val="none" w:sz="0" w:space="0" w:color="auto"/>
            </w:tcBorders>
            <w:shd w:val="clear" w:color="auto" w:fill="FFFFFF" w:themeFill="background1"/>
          </w:tcPr>
          <w:p w:rsidR="00695BE1" w:rsidRPr="008B43F6" w:rsidRDefault="00695BE1" w:rsidP="00C12621">
            <w:pPr>
              <w:spacing w:line="276" w:lineRule="auto"/>
              <w:jc w:val="both"/>
              <w:rPr>
                <w:b w:val="0"/>
                <w:color w:val="auto"/>
                <w:sz w:val="18"/>
                <w:szCs w:val="18"/>
              </w:rPr>
            </w:pPr>
            <w:r w:rsidRPr="008B43F6">
              <w:rPr>
                <w:b w:val="0"/>
                <w:color w:val="auto"/>
                <w:sz w:val="18"/>
                <w:szCs w:val="18"/>
              </w:rPr>
              <w:t>IX</w:t>
            </w:r>
          </w:p>
        </w:tc>
        <w:tc>
          <w:tcPr>
            <w:tcW w:w="2244" w:type="dxa"/>
            <w:tcBorders>
              <w:left w:val="none" w:sz="0" w:space="0" w:color="auto"/>
              <w:right w:val="none" w:sz="0" w:space="0" w:color="auto"/>
            </w:tcBorders>
            <w:shd w:val="clear" w:color="auto" w:fill="FFFFFF" w:themeFill="background1"/>
          </w:tcPr>
          <w:p w:rsidR="00695BE1" w:rsidRPr="008B43F6" w:rsidRDefault="00757A34" w:rsidP="00C12621">
            <w:pPr>
              <w:spacing w:line="276" w:lineRule="auto"/>
              <w:jc w:val="both"/>
              <w:cnfStyle w:val="000000100000" w:firstRow="0" w:lastRow="0" w:firstColumn="0" w:lastColumn="0" w:oddVBand="0" w:evenVBand="0" w:oddHBand="1" w:evenHBand="0" w:firstRowFirstColumn="0" w:firstRowLastColumn="0" w:lastRowFirstColumn="0" w:lastRowLastColumn="0"/>
              <w:rPr>
                <w:color w:val="auto"/>
                <w:sz w:val="18"/>
                <w:szCs w:val="18"/>
              </w:rPr>
            </w:pPr>
            <w:r w:rsidRPr="008B43F6">
              <w:rPr>
                <w:color w:val="auto"/>
                <w:sz w:val="18"/>
                <w:szCs w:val="18"/>
              </w:rPr>
              <w:t>4,414</w:t>
            </w:r>
          </w:p>
        </w:tc>
        <w:tc>
          <w:tcPr>
            <w:tcW w:w="2245" w:type="dxa"/>
            <w:tcBorders>
              <w:left w:val="none" w:sz="0" w:space="0" w:color="auto"/>
              <w:right w:val="none" w:sz="0" w:space="0" w:color="auto"/>
            </w:tcBorders>
            <w:shd w:val="clear" w:color="auto" w:fill="FFFFFF" w:themeFill="background1"/>
          </w:tcPr>
          <w:p w:rsidR="00695BE1" w:rsidRPr="008B43F6" w:rsidRDefault="00757A34" w:rsidP="00C12621">
            <w:pPr>
              <w:spacing w:line="276" w:lineRule="auto"/>
              <w:jc w:val="both"/>
              <w:cnfStyle w:val="000000100000" w:firstRow="0" w:lastRow="0" w:firstColumn="0" w:lastColumn="0" w:oddVBand="0" w:evenVBand="0" w:oddHBand="1" w:evenHBand="0" w:firstRowFirstColumn="0" w:firstRowLastColumn="0" w:lastRowFirstColumn="0" w:lastRowLastColumn="0"/>
              <w:rPr>
                <w:color w:val="auto"/>
                <w:sz w:val="18"/>
                <w:szCs w:val="18"/>
              </w:rPr>
            </w:pPr>
            <w:r w:rsidRPr="008B43F6">
              <w:rPr>
                <w:color w:val="auto"/>
                <w:sz w:val="18"/>
                <w:szCs w:val="18"/>
              </w:rPr>
              <w:t>3,001</w:t>
            </w:r>
          </w:p>
        </w:tc>
        <w:tc>
          <w:tcPr>
            <w:tcW w:w="2245" w:type="dxa"/>
            <w:tcBorders>
              <w:left w:val="none" w:sz="0" w:space="0" w:color="auto"/>
              <w:right w:val="none" w:sz="0" w:space="0" w:color="auto"/>
            </w:tcBorders>
            <w:shd w:val="clear" w:color="auto" w:fill="FFFFFF" w:themeFill="background1"/>
          </w:tcPr>
          <w:p w:rsidR="00695BE1" w:rsidRPr="008B43F6" w:rsidRDefault="00757A34" w:rsidP="00C12621">
            <w:pPr>
              <w:spacing w:line="276" w:lineRule="auto"/>
              <w:jc w:val="both"/>
              <w:cnfStyle w:val="000000100000" w:firstRow="0" w:lastRow="0" w:firstColumn="0" w:lastColumn="0" w:oddVBand="0" w:evenVBand="0" w:oddHBand="1" w:evenHBand="0" w:firstRowFirstColumn="0" w:firstRowLastColumn="0" w:lastRowFirstColumn="0" w:lastRowLastColumn="0"/>
              <w:rPr>
                <w:color w:val="auto"/>
                <w:sz w:val="18"/>
                <w:szCs w:val="18"/>
              </w:rPr>
            </w:pPr>
            <w:r w:rsidRPr="008B43F6">
              <w:rPr>
                <w:color w:val="auto"/>
                <w:sz w:val="18"/>
                <w:szCs w:val="18"/>
              </w:rPr>
              <w:t>539</w:t>
            </w:r>
          </w:p>
        </w:tc>
      </w:tr>
      <w:tr w:rsidR="00695BE1" w:rsidRPr="008B43F6" w:rsidTr="00CA4EF0">
        <w:tc>
          <w:tcPr>
            <w:cnfStyle w:val="001000000000" w:firstRow="0" w:lastRow="0" w:firstColumn="1" w:lastColumn="0" w:oddVBand="0" w:evenVBand="0" w:oddHBand="0" w:evenHBand="0" w:firstRowFirstColumn="0" w:firstRowLastColumn="0" w:lastRowFirstColumn="0" w:lastRowLastColumn="0"/>
            <w:tcW w:w="2244" w:type="dxa"/>
            <w:shd w:val="clear" w:color="auto" w:fill="FFFFFF" w:themeFill="background1"/>
          </w:tcPr>
          <w:p w:rsidR="00695BE1" w:rsidRPr="008B43F6" w:rsidRDefault="00695BE1" w:rsidP="00C12621">
            <w:pPr>
              <w:spacing w:line="276" w:lineRule="auto"/>
              <w:jc w:val="both"/>
              <w:rPr>
                <w:b w:val="0"/>
                <w:color w:val="auto"/>
                <w:sz w:val="18"/>
                <w:szCs w:val="18"/>
              </w:rPr>
            </w:pPr>
            <w:r w:rsidRPr="008B43F6">
              <w:rPr>
                <w:b w:val="0"/>
                <w:color w:val="auto"/>
                <w:sz w:val="18"/>
                <w:szCs w:val="18"/>
              </w:rPr>
              <w:t>X</w:t>
            </w:r>
          </w:p>
        </w:tc>
        <w:tc>
          <w:tcPr>
            <w:tcW w:w="2244" w:type="dxa"/>
            <w:shd w:val="clear" w:color="auto" w:fill="FFFFFF" w:themeFill="background1"/>
          </w:tcPr>
          <w:p w:rsidR="00695BE1" w:rsidRPr="008B43F6" w:rsidRDefault="00757A34" w:rsidP="00C12621">
            <w:pPr>
              <w:spacing w:line="276" w:lineRule="auto"/>
              <w:jc w:val="both"/>
              <w:cnfStyle w:val="000000000000" w:firstRow="0" w:lastRow="0" w:firstColumn="0" w:lastColumn="0" w:oddVBand="0" w:evenVBand="0" w:oddHBand="0" w:evenHBand="0" w:firstRowFirstColumn="0" w:firstRowLastColumn="0" w:lastRowFirstColumn="0" w:lastRowLastColumn="0"/>
              <w:rPr>
                <w:color w:val="auto"/>
                <w:sz w:val="18"/>
                <w:szCs w:val="18"/>
              </w:rPr>
            </w:pPr>
            <w:r w:rsidRPr="008B43F6">
              <w:rPr>
                <w:color w:val="auto"/>
                <w:sz w:val="18"/>
                <w:szCs w:val="18"/>
              </w:rPr>
              <w:t>15,117</w:t>
            </w:r>
          </w:p>
        </w:tc>
        <w:tc>
          <w:tcPr>
            <w:tcW w:w="2245" w:type="dxa"/>
            <w:shd w:val="clear" w:color="auto" w:fill="FFFFFF" w:themeFill="background1"/>
          </w:tcPr>
          <w:p w:rsidR="00695BE1" w:rsidRPr="008B43F6" w:rsidRDefault="00757A34" w:rsidP="00C12621">
            <w:pPr>
              <w:spacing w:line="276" w:lineRule="auto"/>
              <w:jc w:val="both"/>
              <w:cnfStyle w:val="000000000000" w:firstRow="0" w:lastRow="0" w:firstColumn="0" w:lastColumn="0" w:oddVBand="0" w:evenVBand="0" w:oddHBand="0" w:evenHBand="0" w:firstRowFirstColumn="0" w:firstRowLastColumn="0" w:lastRowFirstColumn="0" w:lastRowLastColumn="0"/>
              <w:rPr>
                <w:color w:val="auto"/>
                <w:sz w:val="18"/>
                <w:szCs w:val="18"/>
              </w:rPr>
            </w:pPr>
            <w:r w:rsidRPr="008B43F6">
              <w:rPr>
                <w:color w:val="auto"/>
                <w:sz w:val="18"/>
                <w:szCs w:val="18"/>
              </w:rPr>
              <w:t>3,458</w:t>
            </w:r>
          </w:p>
        </w:tc>
        <w:tc>
          <w:tcPr>
            <w:tcW w:w="2245" w:type="dxa"/>
            <w:shd w:val="clear" w:color="auto" w:fill="FFFFFF" w:themeFill="background1"/>
          </w:tcPr>
          <w:p w:rsidR="00695BE1" w:rsidRPr="008B43F6" w:rsidRDefault="00757A34" w:rsidP="00C12621">
            <w:pPr>
              <w:spacing w:line="276" w:lineRule="auto"/>
              <w:jc w:val="both"/>
              <w:cnfStyle w:val="000000000000" w:firstRow="0" w:lastRow="0" w:firstColumn="0" w:lastColumn="0" w:oddVBand="0" w:evenVBand="0" w:oddHBand="0" w:evenHBand="0" w:firstRowFirstColumn="0" w:firstRowLastColumn="0" w:lastRowFirstColumn="0" w:lastRowLastColumn="0"/>
              <w:rPr>
                <w:color w:val="auto"/>
                <w:sz w:val="18"/>
                <w:szCs w:val="18"/>
              </w:rPr>
            </w:pPr>
            <w:r w:rsidRPr="008B43F6">
              <w:rPr>
                <w:color w:val="auto"/>
                <w:sz w:val="18"/>
                <w:szCs w:val="18"/>
              </w:rPr>
              <w:t>521</w:t>
            </w:r>
          </w:p>
        </w:tc>
      </w:tr>
    </w:tbl>
    <w:p w:rsidR="00695BE1" w:rsidRPr="008B43F6" w:rsidRDefault="00757A34" w:rsidP="00C12621">
      <w:pPr>
        <w:spacing w:after="0"/>
        <w:jc w:val="both"/>
        <w:rPr>
          <w:sz w:val="18"/>
          <w:szCs w:val="18"/>
        </w:rPr>
      </w:pPr>
      <w:r w:rsidRPr="008B43F6">
        <w:rPr>
          <w:b/>
          <w:sz w:val="18"/>
          <w:szCs w:val="18"/>
        </w:rPr>
        <w:t>Fuente:</w:t>
      </w:r>
      <w:r w:rsidR="00E75797" w:rsidRPr="008B43F6">
        <w:rPr>
          <w:sz w:val="18"/>
          <w:szCs w:val="18"/>
        </w:rPr>
        <w:t xml:space="preserve"> Elaboración propia</w:t>
      </w:r>
      <w:r w:rsidRPr="008B43F6">
        <w:rPr>
          <w:sz w:val="18"/>
          <w:szCs w:val="18"/>
        </w:rPr>
        <w:t xml:space="preserve"> con datos de ENIGH-10, ENIGH-06 Y ENIGH-04</w:t>
      </w:r>
      <w:r w:rsidR="00034369" w:rsidRPr="008B43F6">
        <w:rPr>
          <w:sz w:val="18"/>
          <w:szCs w:val="18"/>
        </w:rPr>
        <w:t xml:space="preserve"> </w:t>
      </w:r>
      <w:r w:rsidR="00034369" w:rsidRPr="008B43F6">
        <w:rPr>
          <w:sz w:val="18"/>
          <w:szCs w:val="18"/>
        </w:rPr>
        <w:fldChar w:fldCharType="begin"/>
      </w:r>
      <w:r w:rsidR="00034369" w:rsidRPr="008B43F6">
        <w:rPr>
          <w:sz w:val="18"/>
          <w:szCs w:val="18"/>
        </w:rPr>
        <w:instrText xml:space="preserve"> ADDIN EN.CITE &lt;EndNote&gt;&lt;Cite&gt;&lt;Year&gt;2010&lt;/Year&gt;&lt;RecNum&gt;53&lt;/RecNum&gt;&lt;DisplayText&gt;[21-23]&lt;/DisplayText&gt;&lt;record&gt;&lt;rec-number&gt;53&lt;/rec-number&gt;&lt;foreign-keys&gt;&lt;key app="EN" db-id="w0w9edzzlxxfdgesvf359ft8wzxverspwaav"&gt;53&lt;/key&gt;&lt;/foreign-keys&gt;&lt;ref-type name="Government Document"&gt;46&lt;/ref-type&gt;&lt;contributors&gt;&lt;secondary-authors&gt;&lt;author&gt;INEGI&lt;/author&gt;&lt;/secondary-authors&gt;&lt;/contributors&gt;&lt;titles&gt;&lt;title&gt;Encuesta Nacional de Ingresos y Gastos de los Hogares (ENIGH) &lt;/title&gt;&lt;/titles&gt;&lt;dates&gt;&lt;year&gt;2010&lt;/year&gt;&lt;/dates&gt;&lt;urls&gt;&lt;related-urls&gt;&lt;url&gt;http://www.inegi.org.mx/est/contenidos/Proyectos/Encuestas/Hogares/regulares/Enigh/default.aspx&lt;/url&gt;&lt;/related-urls&gt;&lt;/urls&gt;&lt;/record&gt;&lt;/Cite&gt;&lt;Cite&gt;&lt;Year&gt;2006&lt;/Year&gt;&lt;RecNum&gt;54&lt;/RecNum&gt;&lt;record&gt;&lt;rec-number&gt;54&lt;/rec-number&gt;&lt;foreign-keys&gt;&lt;key app="EN" db-id="w0w9edzzlxxfdgesvf359ft8wzxverspwaav"&gt;54&lt;/key&gt;&lt;/foreign-keys&gt;&lt;ref-type name="Government Document"&gt;46&lt;/ref-type&gt;&lt;contributors&gt;&lt;secondary-authors&gt;&lt;author&gt;INEGI&lt;/author&gt;&lt;/secondary-authors&gt;&lt;/contributors&gt;&lt;titles&gt;&lt;title&gt;Encuesta Nacional de Ingresos y Gastos de los Hogares (ENIGH) &lt;/title&gt;&lt;/titles&gt;&lt;dates&gt;&lt;year&gt;2006&lt;/year&gt;&lt;/dates&gt;&lt;urls&gt;&lt;related-urls&gt;&lt;url&gt;http://www.inegi.org.mx/est/contenidos/Proyectos/Encuestas/Hogares/regulares/Enigh/default.aspx&lt;/url&gt;&lt;/related-urls&gt;&lt;/urls&gt;&lt;/record&gt;&lt;/Cite&gt;&lt;Cite&gt;&lt;Year&gt;2004&lt;/Year&gt;&lt;RecNum&gt;55&lt;/RecNum&gt;&lt;record&gt;&lt;rec-number&gt;55&lt;/rec-number&gt;&lt;foreign-keys&gt;&lt;key app="EN" db-id="w0w9edzzlxxfdgesvf359ft8wzxverspwaav"&gt;55&lt;/key&gt;&lt;/foreign-keys&gt;&lt;ref-type name="Government Document"&gt;46&lt;/ref-type&gt;&lt;contributors&gt;&lt;secondary-authors&gt;&lt;author&gt;INEGI&lt;/author&gt;&lt;/secondary-authors&gt;&lt;/contributors&gt;&lt;titles&gt;&lt;title&gt;Encuesta Nacional de Ingreso Gasto de los Hogares &lt;/title&gt;&lt;/titles&gt;&lt;dates&gt;&lt;year&gt;2004&lt;/year&gt;&lt;/dates&gt;&lt;urls&gt;&lt;related-urls&gt;&lt;url&gt;http://www.inegi.org.mx/est/contenidos/Proyectos/Encuestas/Hogares/regulares/Enigh/default.aspx&lt;/url&gt;&lt;/related-urls&gt;&lt;/urls&gt;&lt;/record&gt;&lt;/Cite&gt;&lt;/EndNote&gt;</w:instrText>
      </w:r>
      <w:r w:rsidR="00034369" w:rsidRPr="008B43F6">
        <w:rPr>
          <w:sz w:val="18"/>
          <w:szCs w:val="18"/>
        </w:rPr>
        <w:fldChar w:fldCharType="separate"/>
      </w:r>
      <w:r w:rsidR="00034369" w:rsidRPr="008B43F6">
        <w:rPr>
          <w:noProof/>
          <w:sz w:val="18"/>
          <w:szCs w:val="18"/>
        </w:rPr>
        <w:t>[</w:t>
      </w:r>
      <w:hyperlink w:anchor="_ENREF_21" w:tooltip=", 2010 #53" w:history="1">
        <w:r w:rsidR="00251C87" w:rsidRPr="008B43F6">
          <w:rPr>
            <w:noProof/>
            <w:sz w:val="18"/>
            <w:szCs w:val="18"/>
          </w:rPr>
          <w:t>21-23</w:t>
        </w:r>
      </w:hyperlink>
      <w:r w:rsidR="00034369" w:rsidRPr="008B43F6">
        <w:rPr>
          <w:noProof/>
          <w:sz w:val="18"/>
          <w:szCs w:val="18"/>
        </w:rPr>
        <w:t>]</w:t>
      </w:r>
      <w:r w:rsidR="00034369" w:rsidRPr="008B43F6">
        <w:rPr>
          <w:sz w:val="18"/>
          <w:szCs w:val="18"/>
        </w:rPr>
        <w:fldChar w:fldCharType="end"/>
      </w:r>
    </w:p>
    <w:p w:rsidR="00757A34" w:rsidRPr="008B43F6" w:rsidRDefault="00757A34" w:rsidP="00C12621">
      <w:pPr>
        <w:spacing w:after="0"/>
        <w:jc w:val="both"/>
        <w:rPr>
          <w:color w:val="1F497D" w:themeColor="text2"/>
          <w:sz w:val="16"/>
          <w:szCs w:val="16"/>
        </w:rPr>
      </w:pPr>
    </w:p>
    <w:p w:rsidR="00894878" w:rsidRPr="008B43F6" w:rsidRDefault="00894878" w:rsidP="00C12621">
      <w:pPr>
        <w:spacing w:after="0"/>
        <w:jc w:val="both"/>
      </w:pPr>
    </w:p>
    <w:p w:rsidR="00757A34" w:rsidRPr="008B43F6" w:rsidRDefault="007C2BA3" w:rsidP="00C12621">
      <w:pPr>
        <w:spacing w:after="0"/>
        <w:jc w:val="both"/>
      </w:pPr>
      <w:r w:rsidRPr="008B43F6">
        <w:lastRenderedPageBreak/>
        <w:t>Para hacer las evaluaciones se consideró que no todas los hogares consumen todos los energéticos:</w:t>
      </w:r>
      <w:r w:rsidR="008710CA" w:rsidRPr="008B43F6">
        <w:t xml:space="preserve"> </w:t>
      </w:r>
      <w:r w:rsidR="00B32C19" w:rsidRPr="008B43F6">
        <w:t>se consideraron,</w:t>
      </w:r>
      <w:r w:rsidR="00757A34" w:rsidRPr="008B43F6">
        <w:t xml:space="preserve"> </w:t>
      </w:r>
      <w:r w:rsidR="00B32C19" w:rsidRPr="008B43F6">
        <w:t>27</w:t>
      </w:r>
      <w:r w:rsidR="00A42856" w:rsidRPr="008B43F6">
        <w:t xml:space="preserve">.5 millones </w:t>
      </w:r>
      <w:r w:rsidR="00B32C19" w:rsidRPr="008B43F6">
        <w:t xml:space="preserve"> con electricidad</w:t>
      </w:r>
      <w:r w:rsidR="00E46C08" w:rsidRPr="008B43F6">
        <w:t xml:space="preserve"> </w:t>
      </w:r>
      <w:r w:rsidR="00B32C19" w:rsidRPr="008B43F6">
        <w:t>(</w:t>
      </w:r>
      <w:r w:rsidR="00757A34" w:rsidRPr="008B43F6">
        <w:t>96.2% de las viviendas habitadas</w:t>
      </w:r>
      <w:r w:rsidR="00B32C19" w:rsidRPr="008B43F6">
        <w:t>)</w:t>
      </w:r>
      <w:r w:rsidR="00757A34" w:rsidRPr="008B43F6">
        <w:t xml:space="preserve">; </w:t>
      </w:r>
      <w:r w:rsidR="00A42856" w:rsidRPr="008B43F6">
        <w:t>24 millones</w:t>
      </w:r>
      <w:r w:rsidR="00757A34" w:rsidRPr="008B43F6">
        <w:t xml:space="preserve"> </w:t>
      </w:r>
      <w:r w:rsidR="00B32C19" w:rsidRPr="008B43F6">
        <w:t>con gas</w:t>
      </w:r>
      <w:r w:rsidR="00757A34" w:rsidRPr="008B43F6">
        <w:t xml:space="preserve"> </w:t>
      </w:r>
      <w:r w:rsidR="00A42856" w:rsidRPr="008B43F6">
        <w:t>y 4.1 millones</w:t>
      </w:r>
      <w:r w:rsidR="00757A34" w:rsidRPr="008B43F6">
        <w:t xml:space="preserve"> que usan leña</w:t>
      </w:r>
      <w:r w:rsidR="00757A34" w:rsidRPr="008B43F6">
        <w:rPr>
          <w:rStyle w:val="Refdenotaalpie"/>
        </w:rPr>
        <w:footnoteReference w:id="3"/>
      </w:r>
      <w:r w:rsidRPr="008B43F6">
        <w:t xml:space="preserve"> </w:t>
      </w:r>
      <w:r w:rsidRPr="008B43F6">
        <w:fldChar w:fldCharType="begin"/>
      </w:r>
      <w:r w:rsidRPr="008B43F6">
        <w:instrText xml:space="preserve"> ADDIN EN.CITE &lt;EndNote&gt;&lt;Cite&gt;&lt;Author&gt;INEGI&lt;/Author&gt;&lt;Year&gt;2011&lt;/Year&gt;&lt;RecNum&gt;85&lt;/RecNum&gt;&lt;DisplayText&gt;[19]&lt;/DisplayText&gt;&lt;record&gt;&lt;rec-number&gt;85&lt;/rec-number&gt;&lt;foreign-keys&gt;&lt;key app="EN" db-id="w0w9edzzlxxfdgesvf359ft8wzxverspwaav"&gt;85&lt;/key&gt;&lt;/foreign-keys&gt;&lt;ref-type name="Government Document"&gt;46&lt;/ref-type&gt;&lt;contributors&gt;&lt;authors&gt;&lt;author&gt;INEGI&lt;/author&gt;&lt;/authors&gt;&lt;/contributors&gt;&lt;titles&gt;&lt;title&gt;Censo de Población y Vivienda 2010&lt;/title&gt;&lt;/titles&gt;&lt;dates&gt;&lt;year&gt;2011&lt;/year&gt;&lt;/dates&gt;&lt;pub-location&gt;Aguascalientes, México&lt;/pub-location&gt;&lt;urls&gt;&lt;/urls&gt;&lt;/record&gt;&lt;/Cite&gt;&lt;/EndNote&gt;</w:instrText>
      </w:r>
      <w:r w:rsidRPr="008B43F6">
        <w:fldChar w:fldCharType="separate"/>
      </w:r>
      <w:r w:rsidRPr="008B43F6">
        <w:rPr>
          <w:noProof/>
        </w:rPr>
        <w:t>[</w:t>
      </w:r>
      <w:hyperlink w:anchor="_ENREF_19" w:tooltip="INEGI, 2011 #85" w:history="1">
        <w:r w:rsidR="00251C87" w:rsidRPr="008B43F6">
          <w:rPr>
            <w:noProof/>
          </w:rPr>
          <w:t>19</w:t>
        </w:r>
      </w:hyperlink>
      <w:r w:rsidRPr="008B43F6">
        <w:rPr>
          <w:noProof/>
        </w:rPr>
        <w:t>]</w:t>
      </w:r>
      <w:r w:rsidRPr="008B43F6">
        <w:fldChar w:fldCharType="end"/>
      </w:r>
      <w:r w:rsidR="00757A34" w:rsidRPr="008B43F6">
        <w:t>.</w:t>
      </w:r>
    </w:p>
    <w:p w:rsidR="00757A34" w:rsidRPr="008B43F6" w:rsidRDefault="00757A34" w:rsidP="00C12621">
      <w:pPr>
        <w:spacing w:after="0"/>
        <w:jc w:val="both"/>
        <w:rPr>
          <w:color w:val="1F497D" w:themeColor="text2"/>
        </w:rPr>
      </w:pPr>
    </w:p>
    <w:p w:rsidR="001927B4" w:rsidRPr="008B43F6" w:rsidRDefault="00894878" w:rsidP="00C12621">
      <w:pPr>
        <w:pStyle w:val="Ttulo3"/>
        <w:jc w:val="both"/>
        <w:rPr>
          <w:rFonts w:asciiTheme="minorHAnsi" w:hAnsiTheme="minorHAnsi"/>
        </w:rPr>
      </w:pPr>
      <w:bookmarkStart w:id="58" w:name="_Toc350874976"/>
      <w:bookmarkStart w:id="59" w:name="_Toc351397588"/>
      <w:r w:rsidRPr="008B43F6">
        <w:rPr>
          <w:rFonts w:asciiTheme="minorHAnsi" w:hAnsiTheme="minorHAnsi"/>
        </w:rPr>
        <w:t xml:space="preserve">4.1.5 </w:t>
      </w:r>
      <w:r w:rsidR="001927B4" w:rsidRPr="008B43F6">
        <w:rPr>
          <w:rFonts w:asciiTheme="minorHAnsi" w:hAnsiTheme="minorHAnsi"/>
        </w:rPr>
        <w:t>Equipamiento</w:t>
      </w:r>
      <w:r w:rsidR="00473D0D" w:rsidRPr="008B43F6">
        <w:rPr>
          <w:rFonts w:asciiTheme="minorHAnsi" w:hAnsiTheme="minorHAnsi"/>
        </w:rPr>
        <w:t xml:space="preserve"> considerado</w:t>
      </w:r>
      <w:bookmarkEnd w:id="58"/>
      <w:bookmarkEnd w:id="59"/>
      <w:r w:rsidR="00473D0D" w:rsidRPr="008B43F6">
        <w:rPr>
          <w:rFonts w:asciiTheme="minorHAnsi" w:hAnsiTheme="minorHAnsi"/>
        </w:rPr>
        <w:t xml:space="preserve"> </w:t>
      </w:r>
    </w:p>
    <w:p w:rsidR="00231FCB" w:rsidRPr="008B43F6" w:rsidRDefault="00231FCB" w:rsidP="00C12621">
      <w:pPr>
        <w:jc w:val="both"/>
      </w:pPr>
      <w:r w:rsidRPr="008B43F6">
        <w:t>Según el Censo de Población y Vivienda, 2010, los hogares del país cuentan con</w:t>
      </w:r>
      <w:r w:rsidR="00A42856" w:rsidRPr="008B43F6">
        <w:t xml:space="preserve"> </w:t>
      </w:r>
      <w:r w:rsidR="00A42856" w:rsidRPr="008B43F6">
        <w:fldChar w:fldCharType="begin"/>
      </w:r>
      <w:r w:rsidR="00A42856" w:rsidRPr="008B43F6">
        <w:instrText xml:space="preserve"> ADDIN EN.CITE &lt;EndNote&gt;&lt;Cite&gt;&lt;Author&gt;INEGI&lt;/Author&gt;&lt;Year&gt;2011&lt;/Year&gt;&lt;RecNum&gt;85&lt;/RecNum&gt;&lt;DisplayText&gt;[19]&lt;/DisplayText&gt;&lt;record&gt;&lt;rec-number&gt;85&lt;/rec-number&gt;&lt;foreign-keys&gt;&lt;key app="EN" db-id="w0w9edzzlxxfdgesvf359ft8wzxverspwaav"&gt;85&lt;/key&gt;&lt;/foreign-keys&gt;&lt;ref-type name="Government Document"&gt;46&lt;/ref-type&gt;&lt;contributors&gt;&lt;authors&gt;&lt;author&gt;INEGI&lt;/author&gt;&lt;/authors&gt;&lt;/contributors&gt;&lt;titles&gt;&lt;title&gt;Censo de Población y Vivienda 2010&lt;/title&gt;&lt;/titles&gt;&lt;dates&gt;&lt;year&gt;2011&lt;/year&gt;&lt;/dates&gt;&lt;pub-location&gt;Aguascalientes, México&lt;/pub-location&gt;&lt;urls&gt;&lt;/urls&gt;&lt;/record&gt;&lt;/Cite&gt;&lt;/EndNote&gt;</w:instrText>
      </w:r>
      <w:r w:rsidR="00A42856" w:rsidRPr="008B43F6">
        <w:fldChar w:fldCharType="separate"/>
      </w:r>
      <w:r w:rsidR="00A42856" w:rsidRPr="008B43F6">
        <w:rPr>
          <w:noProof/>
        </w:rPr>
        <w:t>[</w:t>
      </w:r>
      <w:hyperlink w:anchor="_ENREF_19" w:tooltip="INEGI, 2011 #85" w:history="1">
        <w:r w:rsidR="00251C87" w:rsidRPr="008B43F6">
          <w:rPr>
            <w:noProof/>
          </w:rPr>
          <w:t>19</w:t>
        </w:r>
      </w:hyperlink>
      <w:r w:rsidR="00A42856" w:rsidRPr="008B43F6">
        <w:rPr>
          <w:noProof/>
        </w:rPr>
        <w:t>]</w:t>
      </w:r>
      <w:r w:rsidR="00A42856" w:rsidRPr="008B43F6">
        <w:fldChar w:fldCharType="end"/>
      </w:r>
      <w:r w:rsidRPr="008B43F6">
        <w:t>:</w:t>
      </w:r>
    </w:p>
    <w:p w:rsidR="00231FCB" w:rsidRPr="008B43F6" w:rsidRDefault="00231FCB" w:rsidP="00C12621">
      <w:pPr>
        <w:pStyle w:val="Prrafodelista"/>
        <w:numPr>
          <w:ilvl w:val="0"/>
          <w:numId w:val="4"/>
        </w:numPr>
        <w:jc w:val="both"/>
      </w:pPr>
      <w:r w:rsidRPr="008B43F6">
        <w:t>Electricidad en el 96.2% de las viviendas habitadas</w:t>
      </w:r>
    </w:p>
    <w:p w:rsidR="00231FCB" w:rsidRPr="008B43F6" w:rsidRDefault="00231FCB" w:rsidP="00C12621">
      <w:pPr>
        <w:pStyle w:val="Prrafodelista"/>
        <w:numPr>
          <w:ilvl w:val="0"/>
          <w:numId w:val="4"/>
        </w:numPr>
        <w:jc w:val="both"/>
      </w:pPr>
      <w:r w:rsidRPr="008B43F6">
        <w:t>Televisión en el 91.1% de las viviendas habitadas con energía eléctrica</w:t>
      </w:r>
    </w:p>
    <w:p w:rsidR="00231FCB" w:rsidRPr="008B43F6" w:rsidRDefault="00231FCB" w:rsidP="00C12621">
      <w:pPr>
        <w:pStyle w:val="Prrafodelista"/>
        <w:numPr>
          <w:ilvl w:val="0"/>
          <w:numId w:val="4"/>
        </w:numPr>
        <w:jc w:val="both"/>
      </w:pPr>
      <w:r w:rsidRPr="008B43F6">
        <w:t xml:space="preserve">Refrigerador en el 80.7% de los hogares que tienen electricidad </w:t>
      </w:r>
    </w:p>
    <w:p w:rsidR="00231FCB" w:rsidRPr="008B43F6" w:rsidRDefault="00231FCB" w:rsidP="00C12621">
      <w:pPr>
        <w:pStyle w:val="Prrafodelista"/>
        <w:numPr>
          <w:ilvl w:val="0"/>
          <w:numId w:val="4"/>
        </w:numPr>
        <w:jc w:val="both"/>
      </w:pPr>
      <w:r w:rsidRPr="008B43F6">
        <w:t>Lavadora en el 65.3% de las casas habitadas y con servicio de electricidad</w:t>
      </w:r>
    </w:p>
    <w:p w:rsidR="00231FCB" w:rsidRPr="008B43F6" w:rsidRDefault="00894878" w:rsidP="00C12621">
      <w:pPr>
        <w:pStyle w:val="Prrafodelista"/>
        <w:numPr>
          <w:ilvl w:val="0"/>
          <w:numId w:val="4"/>
        </w:numPr>
        <w:jc w:val="both"/>
      </w:pPr>
      <w:r w:rsidRPr="008B43F6">
        <w:t>G</w:t>
      </w:r>
      <w:r w:rsidR="00231FCB" w:rsidRPr="008B43F6">
        <w:t>as en un 83.8% de las viviendas habitadas  (78.1% GLP y 5.7% Gas Natural)</w:t>
      </w:r>
    </w:p>
    <w:p w:rsidR="00231FCB" w:rsidRPr="008B43F6" w:rsidRDefault="00231FCB" w:rsidP="00C12621">
      <w:pPr>
        <w:pStyle w:val="Prrafodelista"/>
        <w:numPr>
          <w:ilvl w:val="0"/>
          <w:numId w:val="4"/>
        </w:numPr>
        <w:jc w:val="both"/>
      </w:pPr>
      <w:r w:rsidRPr="008B43F6">
        <w:t>Estufa de gas en un 89.5% de los hogares que usan gas</w:t>
      </w:r>
    </w:p>
    <w:p w:rsidR="00231FCB" w:rsidRPr="008B43F6" w:rsidRDefault="00231FCB" w:rsidP="00C12621">
      <w:pPr>
        <w:pStyle w:val="Prrafodelista"/>
        <w:numPr>
          <w:ilvl w:val="0"/>
          <w:numId w:val="4"/>
        </w:numPr>
        <w:jc w:val="both"/>
      </w:pPr>
      <w:r w:rsidRPr="008B43F6">
        <w:t>Calentador de agua a gas en un 47.8% de las viviendas con gas.</w:t>
      </w:r>
    </w:p>
    <w:p w:rsidR="00231FCB" w:rsidRPr="008B43F6" w:rsidRDefault="00231FCB" w:rsidP="00C12621">
      <w:pPr>
        <w:jc w:val="both"/>
      </w:pPr>
    </w:p>
    <w:p w:rsidR="001927B4" w:rsidRPr="008B43F6" w:rsidRDefault="001A074C" w:rsidP="00C12621">
      <w:pPr>
        <w:pStyle w:val="Ttulo3"/>
        <w:jc w:val="both"/>
        <w:rPr>
          <w:rFonts w:asciiTheme="minorHAnsi" w:hAnsiTheme="minorHAnsi"/>
        </w:rPr>
      </w:pPr>
      <w:bookmarkStart w:id="60" w:name="_Toc350874977"/>
      <w:bookmarkStart w:id="61" w:name="_Toc351397589"/>
      <w:r w:rsidRPr="008B43F6">
        <w:rPr>
          <w:rFonts w:asciiTheme="minorHAnsi" w:hAnsiTheme="minorHAnsi"/>
        </w:rPr>
        <w:t>4.1.</w:t>
      </w:r>
      <w:r w:rsidR="00894878" w:rsidRPr="008B43F6">
        <w:rPr>
          <w:rFonts w:asciiTheme="minorHAnsi" w:hAnsiTheme="minorHAnsi"/>
        </w:rPr>
        <w:t>6</w:t>
      </w:r>
      <w:r w:rsidRPr="008B43F6">
        <w:rPr>
          <w:rFonts w:asciiTheme="minorHAnsi" w:hAnsiTheme="minorHAnsi"/>
        </w:rPr>
        <w:t xml:space="preserve"> </w:t>
      </w:r>
      <w:r w:rsidR="001927B4" w:rsidRPr="008B43F6">
        <w:rPr>
          <w:rFonts w:asciiTheme="minorHAnsi" w:hAnsiTheme="minorHAnsi"/>
        </w:rPr>
        <w:t>Electrodomésticos</w:t>
      </w:r>
      <w:bookmarkEnd w:id="60"/>
      <w:bookmarkEnd w:id="61"/>
    </w:p>
    <w:p w:rsidR="00757A34" w:rsidRPr="008B43F6" w:rsidRDefault="00757A34" w:rsidP="00C12621">
      <w:pPr>
        <w:jc w:val="both"/>
      </w:pPr>
      <w:r w:rsidRPr="008B43F6">
        <w:t xml:space="preserve">Para establecer el consumo de energía </w:t>
      </w:r>
      <w:r w:rsidR="005F38C9" w:rsidRPr="008B43F6">
        <w:t xml:space="preserve">eléctrica </w:t>
      </w:r>
      <w:r w:rsidRPr="008B43F6">
        <w:t>promedio  por hogar en México se consider</w:t>
      </w:r>
      <w:r w:rsidR="00894878" w:rsidRPr="008B43F6">
        <w:t>aron</w:t>
      </w:r>
      <w:r w:rsidRPr="008B43F6">
        <w:t xml:space="preserve"> los </w:t>
      </w:r>
      <w:r w:rsidR="005F38C9" w:rsidRPr="008B43F6">
        <w:t xml:space="preserve">equipos y los consumos señalados en la Tabla </w:t>
      </w:r>
      <w:r w:rsidR="00CA4EF0" w:rsidRPr="008B43F6">
        <w:t>4.6.</w:t>
      </w:r>
    </w:p>
    <w:p w:rsidR="005F38C9" w:rsidRPr="008B43F6" w:rsidRDefault="005F38C9" w:rsidP="00C12621">
      <w:pPr>
        <w:spacing w:after="0"/>
        <w:jc w:val="both"/>
        <w:rPr>
          <w:b/>
          <w:sz w:val="18"/>
          <w:szCs w:val="18"/>
        </w:rPr>
      </w:pPr>
      <w:r w:rsidRPr="008B43F6">
        <w:rPr>
          <w:b/>
          <w:sz w:val="18"/>
          <w:szCs w:val="18"/>
        </w:rPr>
        <w:t xml:space="preserve">Tabla </w:t>
      </w:r>
      <w:r w:rsidR="00CA4EF0" w:rsidRPr="008B43F6">
        <w:rPr>
          <w:b/>
          <w:sz w:val="18"/>
          <w:szCs w:val="18"/>
        </w:rPr>
        <w:t>4.6</w:t>
      </w:r>
      <w:r w:rsidRPr="008B43F6">
        <w:rPr>
          <w:b/>
          <w:sz w:val="18"/>
          <w:szCs w:val="18"/>
        </w:rPr>
        <w:t xml:space="preserve"> </w:t>
      </w:r>
      <w:r w:rsidRPr="008B43F6">
        <w:rPr>
          <w:sz w:val="18"/>
          <w:szCs w:val="18"/>
        </w:rPr>
        <w:t>Aparatos eléctrico-electrónicos y sus consumos promedios, en los hogares del país</w:t>
      </w:r>
    </w:p>
    <w:tbl>
      <w:tblPr>
        <w:tblStyle w:val="Sombreadoclaro"/>
        <w:tblW w:w="0" w:type="auto"/>
        <w:tblLook w:val="04A0" w:firstRow="1" w:lastRow="0" w:firstColumn="1" w:lastColumn="0" w:noHBand="0" w:noVBand="1"/>
      </w:tblPr>
      <w:tblGrid>
        <w:gridCol w:w="2244"/>
        <w:gridCol w:w="2244"/>
        <w:gridCol w:w="2245"/>
        <w:gridCol w:w="2245"/>
      </w:tblGrid>
      <w:tr w:rsidR="00757A34" w:rsidRPr="008B43F6" w:rsidTr="00D57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F81BD" w:themeFill="accent1"/>
          </w:tcPr>
          <w:p w:rsidR="00757A34" w:rsidRPr="008B43F6" w:rsidRDefault="00757A34" w:rsidP="00C12621">
            <w:pPr>
              <w:spacing w:line="276" w:lineRule="auto"/>
              <w:jc w:val="both"/>
              <w:rPr>
                <w:color w:val="FFFFFF" w:themeColor="background1"/>
                <w:sz w:val="18"/>
                <w:szCs w:val="18"/>
              </w:rPr>
            </w:pPr>
            <w:r w:rsidRPr="008B43F6">
              <w:rPr>
                <w:color w:val="FFFFFF" w:themeColor="background1"/>
                <w:sz w:val="18"/>
                <w:szCs w:val="18"/>
              </w:rPr>
              <w:t>Equipo</w:t>
            </w:r>
            <w:r w:rsidR="00F71D1F" w:rsidRPr="008B43F6">
              <w:rPr>
                <w:color w:val="FFFFFF" w:themeColor="background1"/>
                <w:sz w:val="18"/>
                <w:szCs w:val="18"/>
              </w:rPr>
              <w:t xml:space="preserve"> Convencional</w:t>
            </w:r>
          </w:p>
        </w:tc>
        <w:tc>
          <w:tcPr>
            <w:tcW w:w="2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F81BD" w:themeFill="accent1"/>
          </w:tcPr>
          <w:p w:rsidR="00757A34" w:rsidRPr="008B43F6" w:rsidRDefault="00757A34" w:rsidP="00C12621">
            <w:pPr>
              <w:spacing w:line="276" w:lineRule="auto"/>
              <w:jc w:val="both"/>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8B43F6">
              <w:rPr>
                <w:color w:val="FFFFFF" w:themeColor="background1"/>
                <w:sz w:val="18"/>
                <w:szCs w:val="18"/>
              </w:rPr>
              <w:t>Tamaño</w:t>
            </w:r>
          </w:p>
        </w:tc>
        <w:tc>
          <w:tcPr>
            <w:tcW w:w="22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F81BD" w:themeFill="accent1"/>
          </w:tcPr>
          <w:p w:rsidR="00757A34" w:rsidRPr="008B43F6" w:rsidRDefault="00757A34" w:rsidP="00C12621">
            <w:pPr>
              <w:spacing w:line="276" w:lineRule="auto"/>
              <w:jc w:val="both"/>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8B43F6">
              <w:rPr>
                <w:color w:val="FFFFFF" w:themeColor="background1"/>
                <w:sz w:val="18"/>
                <w:szCs w:val="18"/>
              </w:rPr>
              <w:t>Consumo</w:t>
            </w:r>
          </w:p>
        </w:tc>
        <w:tc>
          <w:tcPr>
            <w:tcW w:w="22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F81BD" w:themeFill="accent1"/>
          </w:tcPr>
          <w:p w:rsidR="00757A34" w:rsidRPr="008B43F6" w:rsidRDefault="00757A34" w:rsidP="00C12621">
            <w:pPr>
              <w:spacing w:line="276" w:lineRule="auto"/>
              <w:jc w:val="both"/>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8B43F6">
              <w:rPr>
                <w:color w:val="FFFFFF" w:themeColor="background1"/>
                <w:sz w:val="18"/>
                <w:szCs w:val="18"/>
              </w:rPr>
              <w:t>Precio</w:t>
            </w:r>
          </w:p>
        </w:tc>
      </w:tr>
      <w:tr w:rsidR="00757A34" w:rsidRPr="008B43F6" w:rsidTr="00D57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57A34" w:rsidRPr="008B43F6" w:rsidRDefault="00757A34" w:rsidP="00C12621">
            <w:pPr>
              <w:spacing w:line="276" w:lineRule="auto"/>
              <w:jc w:val="both"/>
              <w:rPr>
                <w:color w:val="auto"/>
                <w:sz w:val="18"/>
                <w:szCs w:val="18"/>
              </w:rPr>
            </w:pPr>
            <w:r w:rsidRPr="008B43F6">
              <w:rPr>
                <w:color w:val="auto"/>
                <w:sz w:val="18"/>
                <w:szCs w:val="18"/>
              </w:rPr>
              <w:t>Refrigerador</w:t>
            </w:r>
            <w:r w:rsidR="00F71D1F" w:rsidRPr="008B43F6">
              <w:rPr>
                <w:color w:val="auto"/>
                <w:sz w:val="18"/>
                <w:szCs w:val="18"/>
              </w:rPr>
              <w:t xml:space="preserve"> viejo</w:t>
            </w:r>
          </w:p>
        </w:tc>
        <w:tc>
          <w:tcPr>
            <w:tcW w:w="2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57A34" w:rsidRPr="008B43F6" w:rsidRDefault="001D3CBD" w:rsidP="00C12621">
            <w:pPr>
              <w:spacing w:line="276" w:lineRule="auto"/>
              <w:jc w:val="both"/>
              <w:cnfStyle w:val="000000100000" w:firstRow="0" w:lastRow="0" w:firstColumn="0" w:lastColumn="0" w:oddVBand="0" w:evenVBand="0" w:oddHBand="1" w:evenHBand="0" w:firstRowFirstColumn="0" w:firstRowLastColumn="0" w:lastRowFirstColumn="0" w:lastRowLastColumn="0"/>
              <w:rPr>
                <w:color w:val="auto"/>
                <w:sz w:val="18"/>
                <w:szCs w:val="18"/>
                <w:vertAlign w:val="superscript"/>
              </w:rPr>
            </w:pPr>
            <w:r w:rsidRPr="008B43F6">
              <w:rPr>
                <w:color w:val="auto"/>
                <w:sz w:val="18"/>
                <w:szCs w:val="18"/>
              </w:rPr>
              <w:t>15 pies</w:t>
            </w:r>
            <w:r w:rsidRPr="008B43F6">
              <w:rPr>
                <w:color w:val="auto"/>
                <w:sz w:val="18"/>
                <w:szCs w:val="18"/>
                <w:vertAlign w:val="superscript"/>
              </w:rPr>
              <w:t>3</w:t>
            </w:r>
          </w:p>
        </w:tc>
        <w:tc>
          <w:tcPr>
            <w:tcW w:w="22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57A34" w:rsidRPr="008B43F6" w:rsidRDefault="001D3CBD" w:rsidP="00C12621">
            <w:pPr>
              <w:spacing w:line="276" w:lineRule="auto"/>
              <w:jc w:val="both"/>
              <w:cnfStyle w:val="000000100000" w:firstRow="0" w:lastRow="0" w:firstColumn="0" w:lastColumn="0" w:oddVBand="0" w:evenVBand="0" w:oddHBand="1" w:evenHBand="0" w:firstRowFirstColumn="0" w:firstRowLastColumn="0" w:lastRowFirstColumn="0" w:lastRowLastColumn="0"/>
              <w:rPr>
                <w:color w:val="auto"/>
                <w:sz w:val="18"/>
                <w:szCs w:val="18"/>
              </w:rPr>
            </w:pPr>
            <w:r w:rsidRPr="008B43F6">
              <w:rPr>
                <w:color w:val="auto"/>
                <w:sz w:val="18"/>
                <w:szCs w:val="18"/>
              </w:rPr>
              <w:t>800 kWh/año</w:t>
            </w:r>
          </w:p>
        </w:tc>
        <w:tc>
          <w:tcPr>
            <w:tcW w:w="22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57A34" w:rsidRPr="008B43F6" w:rsidRDefault="00F71D1F" w:rsidP="00C12621">
            <w:pPr>
              <w:spacing w:line="276" w:lineRule="auto"/>
              <w:jc w:val="both"/>
              <w:cnfStyle w:val="000000100000" w:firstRow="0" w:lastRow="0" w:firstColumn="0" w:lastColumn="0" w:oddVBand="0" w:evenVBand="0" w:oddHBand="1" w:evenHBand="0" w:firstRowFirstColumn="0" w:firstRowLastColumn="0" w:lastRowFirstColumn="0" w:lastRowLastColumn="0"/>
              <w:rPr>
                <w:color w:val="auto"/>
                <w:sz w:val="18"/>
                <w:szCs w:val="18"/>
              </w:rPr>
            </w:pPr>
            <w:r w:rsidRPr="008B43F6">
              <w:rPr>
                <w:color w:val="auto"/>
                <w:sz w:val="18"/>
                <w:szCs w:val="18"/>
              </w:rPr>
              <w:t>2,250.00</w:t>
            </w:r>
          </w:p>
        </w:tc>
      </w:tr>
      <w:tr w:rsidR="00757A34" w:rsidRPr="008B43F6" w:rsidTr="00D5769B">
        <w:tc>
          <w:tcPr>
            <w:cnfStyle w:val="001000000000" w:firstRow="0" w:lastRow="0" w:firstColumn="1" w:lastColumn="0" w:oddVBand="0" w:evenVBand="0" w:oddHBand="0" w:evenHBand="0" w:firstRowFirstColumn="0" w:firstRowLastColumn="0" w:lastRowFirstColumn="0" w:lastRowLastColumn="0"/>
            <w:tcW w:w="2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57A34" w:rsidRPr="008B43F6" w:rsidRDefault="001D3CBD" w:rsidP="00C12621">
            <w:pPr>
              <w:spacing w:line="276" w:lineRule="auto"/>
              <w:jc w:val="both"/>
              <w:rPr>
                <w:color w:val="auto"/>
                <w:sz w:val="18"/>
                <w:szCs w:val="18"/>
              </w:rPr>
            </w:pPr>
            <w:r w:rsidRPr="008B43F6">
              <w:rPr>
                <w:color w:val="auto"/>
                <w:sz w:val="18"/>
                <w:szCs w:val="18"/>
              </w:rPr>
              <w:t>Lavadora</w:t>
            </w:r>
            <w:r w:rsidR="00F71D1F" w:rsidRPr="008B43F6">
              <w:rPr>
                <w:color w:val="auto"/>
                <w:sz w:val="18"/>
                <w:szCs w:val="18"/>
              </w:rPr>
              <w:t xml:space="preserve"> vieja</w:t>
            </w:r>
          </w:p>
        </w:tc>
        <w:tc>
          <w:tcPr>
            <w:tcW w:w="2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57A34" w:rsidRPr="008B43F6" w:rsidRDefault="001D3CBD" w:rsidP="00C12621">
            <w:pPr>
              <w:spacing w:line="276" w:lineRule="auto"/>
              <w:jc w:val="both"/>
              <w:cnfStyle w:val="000000000000" w:firstRow="0" w:lastRow="0" w:firstColumn="0" w:lastColumn="0" w:oddVBand="0" w:evenVBand="0" w:oddHBand="0" w:evenHBand="0" w:firstRowFirstColumn="0" w:firstRowLastColumn="0" w:lastRowFirstColumn="0" w:lastRowLastColumn="0"/>
              <w:rPr>
                <w:color w:val="auto"/>
                <w:sz w:val="18"/>
                <w:szCs w:val="18"/>
              </w:rPr>
            </w:pPr>
            <w:r w:rsidRPr="008B43F6">
              <w:rPr>
                <w:color w:val="auto"/>
                <w:sz w:val="18"/>
                <w:szCs w:val="18"/>
              </w:rPr>
              <w:t>Agitador, 10kg</w:t>
            </w:r>
          </w:p>
        </w:tc>
        <w:tc>
          <w:tcPr>
            <w:tcW w:w="22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57A34" w:rsidRPr="008B43F6" w:rsidRDefault="001D3CBD" w:rsidP="00C12621">
            <w:pPr>
              <w:spacing w:line="276" w:lineRule="auto"/>
              <w:jc w:val="both"/>
              <w:cnfStyle w:val="000000000000" w:firstRow="0" w:lastRow="0" w:firstColumn="0" w:lastColumn="0" w:oddVBand="0" w:evenVBand="0" w:oddHBand="0" w:evenHBand="0" w:firstRowFirstColumn="0" w:firstRowLastColumn="0" w:lastRowFirstColumn="0" w:lastRowLastColumn="0"/>
              <w:rPr>
                <w:color w:val="auto"/>
                <w:sz w:val="18"/>
                <w:szCs w:val="18"/>
              </w:rPr>
            </w:pPr>
            <w:r w:rsidRPr="008B43F6">
              <w:rPr>
                <w:color w:val="auto"/>
                <w:sz w:val="18"/>
                <w:szCs w:val="18"/>
              </w:rPr>
              <w:t>77 kWh/año</w:t>
            </w:r>
          </w:p>
        </w:tc>
        <w:tc>
          <w:tcPr>
            <w:tcW w:w="22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57A34" w:rsidRPr="008B43F6" w:rsidRDefault="001D3CBD" w:rsidP="00C12621">
            <w:pPr>
              <w:spacing w:line="276" w:lineRule="auto"/>
              <w:jc w:val="both"/>
              <w:cnfStyle w:val="000000000000" w:firstRow="0" w:lastRow="0" w:firstColumn="0" w:lastColumn="0" w:oddVBand="0" w:evenVBand="0" w:oddHBand="0" w:evenHBand="0" w:firstRowFirstColumn="0" w:firstRowLastColumn="0" w:lastRowFirstColumn="0" w:lastRowLastColumn="0"/>
              <w:rPr>
                <w:color w:val="auto"/>
                <w:sz w:val="18"/>
                <w:szCs w:val="18"/>
              </w:rPr>
            </w:pPr>
            <w:r w:rsidRPr="008B43F6">
              <w:rPr>
                <w:color w:val="auto"/>
                <w:sz w:val="18"/>
                <w:szCs w:val="18"/>
              </w:rPr>
              <w:t>2,000.00</w:t>
            </w:r>
          </w:p>
        </w:tc>
      </w:tr>
      <w:tr w:rsidR="00757A34" w:rsidRPr="008B43F6" w:rsidTr="00D57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57A34" w:rsidRPr="008B43F6" w:rsidRDefault="001D3CBD" w:rsidP="00C12621">
            <w:pPr>
              <w:spacing w:line="276" w:lineRule="auto"/>
              <w:jc w:val="both"/>
              <w:rPr>
                <w:color w:val="auto"/>
                <w:sz w:val="18"/>
                <w:szCs w:val="18"/>
              </w:rPr>
            </w:pPr>
            <w:r w:rsidRPr="008B43F6">
              <w:rPr>
                <w:color w:val="auto"/>
                <w:sz w:val="18"/>
                <w:szCs w:val="18"/>
              </w:rPr>
              <w:t>Foco incandescente</w:t>
            </w:r>
          </w:p>
        </w:tc>
        <w:tc>
          <w:tcPr>
            <w:tcW w:w="2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57A34" w:rsidRPr="008B43F6" w:rsidRDefault="001D3CBD" w:rsidP="00C12621">
            <w:pPr>
              <w:spacing w:line="276" w:lineRule="auto"/>
              <w:jc w:val="both"/>
              <w:cnfStyle w:val="000000100000" w:firstRow="0" w:lastRow="0" w:firstColumn="0" w:lastColumn="0" w:oddVBand="0" w:evenVBand="0" w:oddHBand="1" w:evenHBand="0" w:firstRowFirstColumn="0" w:firstRowLastColumn="0" w:lastRowFirstColumn="0" w:lastRowLastColumn="0"/>
              <w:rPr>
                <w:color w:val="auto"/>
                <w:sz w:val="18"/>
                <w:szCs w:val="18"/>
              </w:rPr>
            </w:pPr>
            <w:r w:rsidRPr="008B43F6">
              <w:rPr>
                <w:color w:val="auto"/>
                <w:sz w:val="18"/>
                <w:szCs w:val="18"/>
              </w:rPr>
              <w:t>4 focos de 60W</w:t>
            </w:r>
          </w:p>
        </w:tc>
        <w:tc>
          <w:tcPr>
            <w:tcW w:w="22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57A34" w:rsidRPr="008B43F6" w:rsidRDefault="001D3CBD" w:rsidP="00C12621">
            <w:pPr>
              <w:spacing w:line="276" w:lineRule="auto"/>
              <w:jc w:val="both"/>
              <w:cnfStyle w:val="000000100000" w:firstRow="0" w:lastRow="0" w:firstColumn="0" w:lastColumn="0" w:oddVBand="0" w:evenVBand="0" w:oddHBand="1" w:evenHBand="0" w:firstRowFirstColumn="0" w:firstRowLastColumn="0" w:lastRowFirstColumn="0" w:lastRowLastColumn="0"/>
              <w:rPr>
                <w:color w:val="auto"/>
                <w:sz w:val="18"/>
                <w:szCs w:val="18"/>
              </w:rPr>
            </w:pPr>
            <w:r w:rsidRPr="008B43F6">
              <w:rPr>
                <w:color w:val="auto"/>
                <w:sz w:val="18"/>
                <w:szCs w:val="18"/>
              </w:rPr>
              <w:t>438 kWh/año</w:t>
            </w:r>
          </w:p>
        </w:tc>
        <w:tc>
          <w:tcPr>
            <w:tcW w:w="22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57A34" w:rsidRPr="008B43F6" w:rsidRDefault="001D3CBD" w:rsidP="00C12621">
            <w:pPr>
              <w:spacing w:line="276" w:lineRule="auto"/>
              <w:jc w:val="both"/>
              <w:cnfStyle w:val="000000100000" w:firstRow="0" w:lastRow="0" w:firstColumn="0" w:lastColumn="0" w:oddVBand="0" w:evenVBand="0" w:oddHBand="1" w:evenHBand="0" w:firstRowFirstColumn="0" w:firstRowLastColumn="0" w:lastRowFirstColumn="0" w:lastRowLastColumn="0"/>
              <w:rPr>
                <w:color w:val="auto"/>
                <w:sz w:val="18"/>
                <w:szCs w:val="18"/>
              </w:rPr>
            </w:pPr>
            <w:r w:rsidRPr="008B43F6">
              <w:rPr>
                <w:color w:val="auto"/>
                <w:sz w:val="18"/>
                <w:szCs w:val="18"/>
              </w:rPr>
              <w:t>12.00</w:t>
            </w:r>
          </w:p>
        </w:tc>
      </w:tr>
      <w:tr w:rsidR="001D3CBD" w:rsidRPr="008B43F6" w:rsidTr="00D5769B">
        <w:tc>
          <w:tcPr>
            <w:cnfStyle w:val="001000000000" w:firstRow="0" w:lastRow="0" w:firstColumn="1" w:lastColumn="0" w:oddVBand="0" w:evenVBand="0" w:oddHBand="0" w:evenHBand="0" w:firstRowFirstColumn="0" w:firstRowLastColumn="0" w:lastRowFirstColumn="0" w:lastRowLastColumn="0"/>
            <w:tcW w:w="2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1D3CBD" w:rsidRPr="008B43F6" w:rsidRDefault="001D3CBD" w:rsidP="00C12621">
            <w:pPr>
              <w:spacing w:line="276" w:lineRule="auto"/>
              <w:jc w:val="both"/>
              <w:rPr>
                <w:color w:val="auto"/>
                <w:sz w:val="18"/>
                <w:szCs w:val="18"/>
              </w:rPr>
            </w:pPr>
            <w:r w:rsidRPr="008B43F6">
              <w:rPr>
                <w:color w:val="auto"/>
                <w:sz w:val="18"/>
                <w:szCs w:val="18"/>
              </w:rPr>
              <w:t>TV</w:t>
            </w:r>
          </w:p>
        </w:tc>
        <w:tc>
          <w:tcPr>
            <w:tcW w:w="2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1D3CBD" w:rsidRPr="008B43F6" w:rsidRDefault="00F71D1F" w:rsidP="00C12621">
            <w:pPr>
              <w:spacing w:line="276" w:lineRule="auto"/>
              <w:jc w:val="both"/>
              <w:cnfStyle w:val="000000000000" w:firstRow="0" w:lastRow="0" w:firstColumn="0" w:lastColumn="0" w:oddVBand="0" w:evenVBand="0" w:oddHBand="0" w:evenHBand="0" w:firstRowFirstColumn="0" w:firstRowLastColumn="0" w:lastRowFirstColumn="0" w:lastRowLastColumn="0"/>
              <w:rPr>
                <w:color w:val="auto"/>
                <w:sz w:val="18"/>
                <w:szCs w:val="18"/>
              </w:rPr>
            </w:pPr>
            <w:r w:rsidRPr="008B43F6">
              <w:rPr>
                <w:color w:val="auto"/>
                <w:sz w:val="18"/>
                <w:szCs w:val="18"/>
              </w:rPr>
              <w:t>14” (52 W)</w:t>
            </w:r>
          </w:p>
        </w:tc>
        <w:tc>
          <w:tcPr>
            <w:tcW w:w="22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1D3CBD" w:rsidRPr="008B43F6" w:rsidRDefault="00F71D1F" w:rsidP="00C12621">
            <w:pPr>
              <w:spacing w:line="276" w:lineRule="auto"/>
              <w:jc w:val="both"/>
              <w:cnfStyle w:val="000000000000" w:firstRow="0" w:lastRow="0" w:firstColumn="0" w:lastColumn="0" w:oddVBand="0" w:evenVBand="0" w:oddHBand="0" w:evenHBand="0" w:firstRowFirstColumn="0" w:firstRowLastColumn="0" w:lastRowFirstColumn="0" w:lastRowLastColumn="0"/>
              <w:rPr>
                <w:color w:val="auto"/>
                <w:sz w:val="18"/>
                <w:szCs w:val="18"/>
              </w:rPr>
            </w:pPr>
            <w:r w:rsidRPr="008B43F6">
              <w:rPr>
                <w:color w:val="auto"/>
                <w:sz w:val="18"/>
                <w:szCs w:val="18"/>
              </w:rPr>
              <w:t>95</w:t>
            </w:r>
            <w:r w:rsidR="001D3CBD" w:rsidRPr="008B43F6">
              <w:rPr>
                <w:color w:val="auto"/>
                <w:sz w:val="18"/>
                <w:szCs w:val="18"/>
              </w:rPr>
              <w:t xml:space="preserve"> kWh/año</w:t>
            </w:r>
          </w:p>
        </w:tc>
        <w:tc>
          <w:tcPr>
            <w:tcW w:w="22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1D3CBD" w:rsidRPr="008B43F6" w:rsidRDefault="00F71D1F" w:rsidP="00C12621">
            <w:pPr>
              <w:spacing w:line="276" w:lineRule="auto"/>
              <w:jc w:val="both"/>
              <w:cnfStyle w:val="000000000000" w:firstRow="0" w:lastRow="0" w:firstColumn="0" w:lastColumn="0" w:oddVBand="0" w:evenVBand="0" w:oddHBand="0" w:evenHBand="0" w:firstRowFirstColumn="0" w:firstRowLastColumn="0" w:lastRowFirstColumn="0" w:lastRowLastColumn="0"/>
              <w:rPr>
                <w:color w:val="auto"/>
                <w:sz w:val="18"/>
                <w:szCs w:val="18"/>
              </w:rPr>
            </w:pPr>
            <w:r w:rsidRPr="008B43F6">
              <w:rPr>
                <w:color w:val="auto"/>
                <w:sz w:val="18"/>
                <w:szCs w:val="18"/>
              </w:rPr>
              <w:t>2,000.00</w:t>
            </w:r>
          </w:p>
        </w:tc>
      </w:tr>
      <w:tr w:rsidR="001D3CBD" w:rsidRPr="008B43F6" w:rsidTr="00D57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1D3CBD" w:rsidRPr="008B43F6" w:rsidRDefault="001D3CBD" w:rsidP="00C12621">
            <w:pPr>
              <w:spacing w:line="276" w:lineRule="auto"/>
              <w:jc w:val="both"/>
              <w:rPr>
                <w:color w:val="auto"/>
                <w:sz w:val="18"/>
                <w:szCs w:val="18"/>
              </w:rPr>
            </w:pPr>
            <w:r w:rsidRPr="008B43F6">
              <w:rPr>
                <w:color w:val="auto"/>
                <w:sz w:val="18"/>
                <w:szCs w:val="18"/>
              </w:rPr>
              <w:t>Otros</w:t>
            </w:r>
          </w:p>
        </w:tc>
        <w:tc>
          <w:tcPr>
            <w:tcW w:w="2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1D3CBD" w:rsidRPr="008B43F6" w:rsidRDefault="00F71D1F" w:rsidP="00C12621">
            <w:pPr>
              <w:spacing w:line="276" w:lineRule="auto"/>
              <w:jc w:val="both"/>
              <w:cnfStyle w:val="000000100000" w:firstRow="0" w:lastRow="0" w:firstColumn="0" w:lastColumn="0" w:oddVBand="0" w:evenVBand="0" w:oddHBand="1" w:evenHBand="0" w:firstRowFirstColumn="0" w:firstRowLastColumn="0" w:lastRowFirstColumn="0" w:lastRowLastColumn="0"/>
              <w:rPr>
                <w:color w:val="auto"/>
                <w:sz w:val="18"/>
                <w:szCs w:val="18"/>
              </w:rPr>
            </w:pPr>
            <w:r w:rsidRPr="008B43F6">
              <w:rPr>
                <w:color w:val="auto"/>
                <w:sz w:val="18"/>
                <w:szCs w:val="18"/>
              </w:rPr>
              <w:t>No aplica</w:t>
            </w:r>
          </w:p>
        </w:tc>
        <w:tc>
          <w:tcPr>
            <w:tcW w:w="22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1D3CBD" w:rsidRPr="008B43F6" w:rsidRDefault="00F71D1F" w:rsidP="00C12621">
            <w:pPr>
              <w:spacing w:line="276" w:lineRule="auto"/>
              <w:jc w:val="both"/>
              <w:cnfStyle w:val="000000100000" w:firstRow="0" w:lastRow="0" w:firstColumn="0" w:lastColumn="0" w:oddVBand="0" w:evenVBand="0" w:oddHBand="1" w:evenHBand="0" w:firstRowFirstColumn="0" w:firstRowLastColumn="0" w:lastRowFirstColumn="0" w:lastRowLastColumn="0"/>
              <w:rPr>
                <w:color w:val="auto"/>
                <w:sz w:val="18"/>
                <w:szCs w:val="18"/>
              </w:rPr>
            </w:pPr>
            <w:r w:rsidRPr="008B43F6">
              <w:rPr>
                <w:color w:val="auto"/>
                <w:sz w:val="18"/>
                <w:szCs w:val="18"/>
              </w:rPr>
              <w:t>122</w:t>
            </w:r>
            <w:r w:rsidR="001D3CBD" w:rsidRPr="008B43F6">
              <w:rPr>
                <w:color w:val="auto"/>
                <w:sz w:val="18"/>
                <w:szCs w:val="18"/>
              </w:rPr>
              <w:t>kWh/año</w:t>
            </w:r>
          </w:p>
        </w:tc>
        <w:tc>
          <w:tcPr>
            <w:tcW w:w="22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1D3CBD" w:rsidRPr="008B43F6" w:rsidRDefault="00F71D1F" w:rsidP="00C12621">
            <w:pPr>
              <w:spacing w:line="276" w:lineRule="auto"/>
              <w:jc w:val="both"/>
              <w:cnfStyle w:val="000000100000" w:firstRow="0" w:lastRow="0" w:firstColumn="0" w:lastColumn="0" w:oddVBand="0" w:evenVBand="0" w:oddHBand="1" w:evenHBand="0" w:firstRowFirstColumn="0" w:firstRowLastColumn="0" w:lastRowFirstColumn="0" w:lastRowLastColumn="0"/>
              <w:rPr>
                <w:color w:val="auto"/>
                <w:sz w:val="18"/>
                <w:szCs w:val="18"/>
              </w:rPr>
            </w:pPr>
            <w:r w:rsidRPr="008B43F6">
              <w:rPr>
                <w:color w:val="auto"/>
                <w:sz w:val="18"/>
                <w:szCs w:val="18"/>
              </w:rPr>
              <w:t>No aplica</w:t>
            </w:r>
          </w:p>
        </w:tc>
      </w:tr>
    </w:tbl>
    <w:p w:rsidR="00757A34" w:rsidRPr="008B43F6" w:rsidRDefault="00F71D1F" w:rsidP="00C12621">
      <w:pPr>
        <w:jc w:val="both"/>
        <w:rPr>
          <w:sz w:val="18"/>
          <w:szCs w:val="18"/>
        </w:rPr>
      </w:pPr>
      <w:r w:rsidRPr="008B43F6">
        <w:rPr>
          <w:b/>
          <w:sz w:val="18"/>
          <w:szCs w:val="18"/>
        </w:rPr>
        <w:t>Fuente:</w:t>
      </w:r>
      <w:r w:rsidRPr="008B43F6">
        <w:rPr>
          <w:sz w:val="18"/>
          <w:szCs w:val="18"/>
        </w:rPr>
        <w:t xml:space="preserve"> </w:t>
      </w:r>
      <w:r w:rsidR="00034369" w:rsidRPr="008B43F6">
        <w:rPr>
          <w:sz w:val="18"/>
          <w:szCs w:val="18"/>
        </w:rPr>
        <w:t xml:space="preserve">CONAFOVI, PROFECO </w:t>
      </w:r>
      <w:r w:rsidR="00034369" w:rsidRPr="008B43F6">
        <w:rPr>
          <w:sz w:val="18"/>
          <w:szCs w:val="18"/>
        </w:rPr>
        <w:fldChar w:fldCharType="begin"/>
      </w:r>
      <w:r w:rsidR="00034369" w:rsidRPr="008B43F6">
        <w:rPr>
          <w:sz w:val="18"/>
          <w:szCs w:val="18"/>
        </w:rPr>
        <w:instrText xml:space="preserve"> ADDIN EN.CITE &lt;EndNote&gt;&lt;Cite&gt;&lt;Year&gt;2006&lt;/Year&gt;&lt;RecNum&gt;59&lt;/RecNum&gt;&lt;DisplayText&gt;[24, 25]&lt;/DisplayText&gt;&lt;record&gt;&lt;rec-number&gt;59&lt;/rec-number&gt;&lt;foreign-keys&gt;&lt;key app="EN" db-id="w0w9edzzlxxfdgesvf359ft8wzxverspwaav"&gt;59&lt;/key&gt;&lt;/foreign-keys&gt;&lt;ref-type name="Government Document"&gt;46&lt;/ref-type&gt;&lt;contributors&gt;&lt;/contributors&gt;&lt;titles&gt;&lt;title&gt;Uso eficiente de la energía en la vivienda&lt;/title&gt;&lt;/titles&gt;&lt;dates&gt;&lt;year&gt;2006&lt;/year&gt;&lt;/dates&gt;&lt;urls&gt;&lt;/urls&gt;&lt;custom1&gt;Comisión Nacional de Fomento a la vivienda (CONAFOVI)&lt;/custom1&gt;&lt;/record&gt;&lt;/Cite&gt;&lt;Cite&gt;&lt;Author&gt;PROFECO&lt;/Author&gt;&lt;RecNum&gt;93&lt;/RecNum&gt;&lt;record&gt;&lt;rec-number&gt;93&lt;/rec-number&gt;&lt;foreign-keys&gt;&lt;key app="EN" db-id="w0w9edzzlxxfdgesvf359ft8wzxverspwaav"&gt;93&lt;/key&gt;&lt;/foreign-keys&gt;&lt;ref-type name="Web Page"&gt;12&lt;/ref-type&gt;&lt;contributors&gt;&lt;authors&gt;&lt;author&gt;PROFECO&lt;/author&gt;&lt;/authors&gt;&lt;/contributors&gt;&lt;titles&gt;&lt;title&gt;Procuraduría Federal del Consumidor&lt;/title&gt;&lt;/titles&gt;&lt;dates&gt;&lt;/dates&gt;&lt;pub-location&gt;México&lt;/pub-location&gt;&lt;urls&gt;&lt;related-urls&gt;&lt;url&gt;http://www.profeco.gob.mx/&lt;/url&gt;&lt;/related-urls&gt;&lt;/urls&gt;&lt;/record&gt;&lt;/Cite&gt;&lt;/EndNote&gt;</w:instrText>
      </w:r>
      <w:r w:rsidR="00034369" w:rsidRPr="008B43F6">
        <w:rPr>
          <w:sz w:val="18"/>
          <w:szCs w:val="18"/>
        </w:rPr>
        <w:fldChar w:fldCharType="separate"/>
      </w:r>
      <w:r w:rsidR="00034369" w:rsidRPr="008B43F6">
        <w:rPr>
          <w:noProof/>
          <w:sz w:val="18"/>
          <w:szCs w:val="18"/>
        </w:rPr>
        <w:t>[</w:t>
      </w:r>
      <w:hyperlink w:anchor="_ENREF_24" w:tooltip=", 2006 #59" w:history="1">
        <w:r w:rsidR="00251C87" w:rsidRPr="008B43F6">
          <w:rPr>
            <w:noProof/>
            <w:sz w:val="18"/>
            <w:szCs w:val="18"/>
          </w:rPr>
          <w:t>24</w:t>
        </w:r>
      </w:hyperlink>
      <w:r w:rsidR="00034369" w:rsidRPr="008B43F6">
        <w:rPr>
          <w:noProof/>
          <w:sz w:val="18"/>
          <w:szCs w:val="18"/>
        </w:rPr>
        <w:t xml:space="preserve">, </w:t>
      </w:r>
      <w:hyperlink w:anchor="_ENREF_25" w:tooltip="PROFECO,  #93" w:history="1">
        <w:r w:rsidR="00251C87" w:rsidRPr="008B43F6">
          <w:rPr>
            <w:noProof/>
            <w:sz w:val="18"/>
            <w:szCs w:val="18"/>
          </w:rPr>
          <w:t>25</w:t>
        </w:r>
      </w:hyperlink>
      <w:r w:rsidR="00034369" w:rsidRPr="008B43F6">
        <w:rPr>
          <w:noProof/>
          <w:sz w:val="18"/>
          <w:szCs w:val="18"/>
        </w:rPr>
        <w:t>]</w:t>
      </w:r>
      <w:r w:rsidR="00034369" w:rsidRPr="008B43F6">
        <w:rPr>
          <w:sz w:val="18"/>
          <w:szCs w:val="18"/>
        </w:rPr>
        <w:fldChar w:fldCharType="end"/>
      </w:r>
    </w:p>
    <w:p w:rsidR="00F71D1F" w:rsidRPr="008B43F6" w:rsidRDefault="005F38C9" w:rsidP="00C12621">
      <w:pPr>
        <w:jc w:val="both"/>
      </w:pPr>
      <w:r w:rsidRPr="008B43F6">
        <w:t>A su vez, para establecer el consumo de gas o de leña para cocción</w:t>
      </w:r>
      <w:r w:rsidR="00F71D1F" w:rsidRPr="008B43F6">
        <w:t xml:space="preserve"> promedio  por hogar en México </w:t>
      </w:r>
      <w:r w:rsidRPr="008B43F6">
        <w:t xml:space="preserve">se consideraron los equipos y consumos señalados en la Tabla </w:t>
      </w:r>
      <w:r w:rsidR="00C01859" w:rsidRPr="008B43F6">
        <w:t>4.7</w:t>
      </w:r>
    </w:p>
    <w:p w:rsidR="005F38C9" w:rsidRPr="008B43F6" w:rsidRDefault="005F38C9" w:rsidP="00C12621">
      <w:pPr>
        <w:jc w:val="both"/>
        <w:rPr>
          <w:sz w:val="18"/>
          <w:szCs w:val="18"/>
        </w:rPr>
      </w:pPr>
      <w:r w:rsidRPr="008B43F6">
        <w:rPr>
          <w:b/>
          <w:sz w:val="18"/>
          <w:szCs w:val="18"/>
        </w:rPr>
        <w:t xml:space="preserve">Tabla </w:t>
      </w:r>
      <w:r w:rsidR="00C01859" w:rsidRPr="008B43F6">
        <w:rPr>
          <w:b/>
          <w:sz w:val="18"/>
          <w:szCs w:val="18"/>
        </w:rPr>
        <w:t>4.7</w:t>
      </w:r>
      <w:r w:rsidR="00C01859" w:rsidRPr="008B43F6">
        <w:rPr>
          <w:sz w:val="18"/>
          <w:szCs w:val="18"/>
        </w:rPr>
        <w:t xml:space="preserve"> </w:t>
      </w:r>
      <w:r w:rsidRPr="008B43F6">
        <w:rPr>
          <w:sz w:val="18"/>
          <w:szCs w:val="18"/>
        </w:rPr>
        <w:t xml:space="preserve"> Aparatos para cocción y sus consumos promedios, en los hogares del país</w:t>
      </w:r>
    </w:p>
    <w:tbl>
      <w:tblPr>
        <w:tblStyle w:val="Sombreadoclaro"/>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2244"/>
        <w:gridCol w:w="2244"/>
        <w:gridCol w:w="2245"/>
        <w:gridCol w:w="2245"/>
      </w:tblGrid>
      <w:tr w:rsidR="00F71D1F" w:rsidRPr="008B43F6" w:rsidTr="00D57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4" w:type="dxa"/>
            <w:tcBorders>
              <w:top w:val="none" w:sz="0" w:space="0" w:color="auto"/>
              <w:left w:val="none" w:sz="0" w:space="0" w:color="auto"/>
              <w:bottom w:val="none" w:sz="0" w:space="0" w:color="auto"/>
              <w:right w:val="none" w:sz="0" w:space="0" w:color="auto"/>
            </w:tcBorders>
            <w:shd w:val="clear" w:color="auto" w:fill="4F81BD" w:themeFill="accent1"/>
          </w:tcPr>
          <w:p w:rsidR="00F71D1F" w:rsidRPr="008B43F6" w:rsidRDefault="00F71D1F" w:rsidP="00C12621">
            <w:pPr>
              <w:spacing w:line="276" w:lineRule="auto"/>
              <w:jc w:val="both"/>
              <w:rPr>
                <w:color w:val="FFFFFF" w:themeColor="background1"/>
                <w:sz w:val="18"/>
                <w:szCs w:val="18"/>
              </w:rPr>
            </w:pPr>
            <w:r w:rsidRPr="008B43F6">
              <w:rPr>
                <w:color w:val="FFFFFF" w:themeColor="background1"/>
                <w:sz w:val="18"/>
                <w:szCs w:val="18"/>
              </w:rPr>
              <w:t>Equipo Convencional</w:t>
            </w:r>
          </w:p>
        </w:tc>
        <w:tc>
          <w:tcPr>
            <w:tcW w:w="2244" w:type="dxa"/>
            <w:tcBorders>
              <w:top w:val="none" w:sz="0" w:space="0" w:color="auto"/>
              <w:left w:val="none" w:sz="0" w:space="0" w:color="auto"/>
              <w:bottom w:val="none" w:sz="0" w:space="0" w:color="auto"/>
              <w:right w:val="none" w:sz="0" w:space="0" w:color="auto"/>
            </w:tcBorders>
            <w:shd w:val="clear" w:color="auto" w:fill="4F81BD" w:themeFill="accent1"/>
          </w:tcPr>
          <w:p w:rsidR="00F71D1F" w:rsidRPr="008B43F6" w:rsidRDefault="00F71D1F" w:rsidP="00C12621">
            <w:pPr>
              <w:spacing w:line="276" w:lineRule="auto"/>
              <w:jc w:val="both"/>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8B43F6">
              <w:rPr>
                <w:color w:val="FFFFFF" w:themeColor="background1"/>
                <w:sz w:val="18"/>
                <w:szCs w:val="18"/>
              </w:rPr>
              <w:t>Tamaño</w:t>
            </w:r>
          </w:p>
        </w:tc>
        <w:tc>
          <w:tcPr>
            <w:tcW w:w="2245" w:type="dxa"/>
            <w:tcBorders>
              <w:top w:val="none" w:sz="0" w:space="0" w:color="auto"/>
              <w:left w:val="none" w:sz="0" w:space="0" w:color="auto"/>
              <w:bottom w:val="none" w:sz="0" w:space="0" w:color="auto"/>
              <w:right w:val="none" w:sz="0" w:space="0" w:color="auto"/>
            </w:tcBorders>
            <w:shd w:val="clear" w:color="auto" w:fill="4F81BD" w:themeFill="accent1"/>
          </w:tcPr>
          <w:p w:rsidR="00F71D1F" w:rsidRPr="008B43F6" w:rsidRDefault="00F71D1F" w:rsidP="00C12621">
            <w:pPr>
              <w:spacing w:line="276" w:lineRule="auto"/>
              <w:jc w:val="both"/>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8B43F6">
              <w:rPr>
                <w:color w:val="FFFFFF" w:themeColor="background1"/>
                <w:sz w:val="18"/>
                <w:szCs w:val="18"/>
              </w:rPr>
              <w:t>Consumo</w:t>
            </w:r>
            <w:r w:rsidR="00A42856" w:rsidRPr="008B43F6">
              <w:rPr>
                <w:color w:val="FFFFFF" w:themeColor="background1"/>
                <w:sz w:val="18"/>
                <w:szCs w:val="18"/>
              </w:rPr>
              <w:t xml:space="preserve"> (GJ/año)</w:t>
            </w:r>
          </w:p>
        </w:tc>
        <w:tc>
          <w:tcPr>
            <w:tcW w:w="2245" w:type="dxa"/>
            <w:tcBorders>
              <w:top w:val="none" w:sz="0" w:space="0" w:color="auto"/>
              <w:left w:val="none" w:sz="0" w:space="0" w:color="auto"/>
              <w:bottom w:val="none" w:sz="0" w:space="0" w:color="auto"/>
              <w:right w:val="none" w:sz="0" w:space="0" w:color="auto"/>
            </w:tcBorders>
            <w:shd w:val="clear" w:color="auto" w:fill="4F81BD" w:themeFill="accent1"/>
          </w:tcPr>
          <w:p w:rsidR="00F71D1F" w:rsidRPr="008B43F6" w:rsidRDefault="00F71D1F" w:rsidP="00C12621">
            <w:pPr>
              <w:spacing w:line="276" w:lineRule="auto"/>
              <w:jc w:val="both"/>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8B43F6">
              <w:rPr>
                <w:color w:val="FFFFFF" w:themeColor="background1"/>
                <w:sz w:val="18"/>
                <w:szCs w:val="18"/>
              </w:rPr>
              <w:t>Precio</w:t>
            </w:r>
            <w:r w:rsidR="00A42856" w:rsidRPr="008B43F6">
              <w:rPr>
                <w:color w:val="FFFFFF" w:themeColor="background1"/>
                <w:sz w:val="18"/>
                <w:szCs w:val="18"/>
              </w:rPr>
              <w:t xml:space="preserve"> (Pesos)</w:t>
            </w:r>
          </w:p>
        </w:tc>
      </w:tr>
      <w:tr w:rsidR="00F71D1F" w:rsidRPr="008B43F6" w:rsidTr="00D57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4" w:type="dxa"/>
            <w:tcBorders>
              <w:left w:val="none" w:sz="0" w:space="0" w:color="auto"/>
              <w:right w:val="none" w:sz="0" w:space="0" w:color="auto"/>
            </w:tcBorders>
            <w:shd w:val="clear" w:color="auto" w:fill="FFFFFF" w:themeFill="background1"/>
          </w:tcPr>
          <w:p w:rsidR="00F71D1F" w:rsidRPr="008B43F6" w:rsidRDefault="00F71D1F" w:rsidP="00C12621">
            <w:pPr>
              <w:spacing w:line="276" w:lineRule="auto"/>
              <w:jc w:val="both"/>
              <w:rPr>
                <w:color w:val="auto"/>
                <w:sz w:val="18"/>
                <w:szCs w:val="18"/>
              </w:rPr>
            </w:pPr>
            <w:r w:rsidRPr="008B43F6">
              <w:rPr>
                <w:color w:val="auto"/>
                <w:sz w:val="18"/>
                <w:szCs w:val="18"/>
              </w:rPr>
              <w:t>Estufa a gas</w:t>
            </w:r>
          </w:p>
        </w:tc>
        <w:tc>
          <w:tcPr>
            <w:tcW w:w="2244" w:type="dxa"/>
            <w:tcBorders>
              <w:left w:val="none" w:sz="0" w:space="0" w:color="auto"/>
              <w:right w:val="none" w:sz="0" w:space="0" w:color="auto"/>
            </w:tcBorders>
            <w:shd w:val="clear" w:color="auto" w:fill="FFFFFF" w:themeFill="background1"/>
          </w:tcPr>
          <w:p w:rsidR="00F71D1F" w:rsidRPr="008B43F6" w:rsidRDefault="00F71D1F" w:rsidP="00C12621">
            <w:pPr>
              <w:spacing w:line="276" w:lineRule="auto"/>
              <w:jc w:val="both"/>
              <w:cnfStyle w:val="000000100000" w:firstRow="0" w:lastRow="0" w:firstColumn="0" w:lastColumn="0" w:oddVBand="0" w:evenVBand="0" w:oddHBand="1" w:evenHBand="0" w:firstRowFirstColumn="0" w:firstRowLastColumn="0" w:lastRowFirstColumn="0" w:lastRowLastColumn="0"/>
              <w:rPr>
                <w:color w:val="auto"/>
                <w:sz w:val="18"/>
                <w:szCs w:val="18"/>
              </w:rPr>
            </w:pPr>
            <w:r w:rsidRPr="008B43F6">
              <w:rPr>
                <w:color w:val="auto"/>
                <w:sz w:val="18"/>
                <w:szCs w:val="18"/>
              </w:rPr>
              <w:t>4 quemadores con llama piloto</w:t>
            </w:r>
          </w:p>
        </w:tc>
        <w:tc>
          <w:tcPr>
            <w:tcW w:w="2245" w:type="dxa"/>
            <w:tcBorders>
              <w:left w:val="none" w:sz="0" w:space="0" w:color="auto"/>
              <w:right w:val="none" w:sz="0" w:space="0" w:color="auto"/>
            </w:tcBorders>
            <w:shd w:val="clear" w:color="auto" w:fill="FFFFFF" w:themeFill="background1"/>
          </w:tcPr>
          <w:p w:rsidR="00F71D1F" w:rsidRPr="008B43F6" w:rsidRDefault="00F71D1F" w:rsidP="00C12621">
            <w:pPr>
              <w:spacing w:line="276" w:lineRule="auto"/>
              <w:jc w:val="both"/>
              <w:cnfStyle w:val="000000100000" w:firstRow="0" w:lastRow="0" w:firstColumn="0" w:lastColumn="0" w:oddVBand="0" w:evenVBand="0" w:oddHBand="1" w:evenHBand="0" w:firstRowFirstColumn="0" w:firstRowLastColumn="0" w:lastRowFirstColumn="0" w:lastRowLastColumn="0"/>
              <w:rPr>
                <w:color w:val="auto"/>
                <w:sz w:val="18"/>
                <w:szCs w:val="18"/>
              </w:rPr>
            </w:pPr>
            <w:r w:rsidRPr="008B43F6">
              <w:rPr>
                <w:color w:val="auto"/>
                <w:sz w:val="18"/>
                <w:szCs w:val="18"/>
              </w:rPr>
              <w:t xml:space="preserve">7.4 </w:t>
            </w:r>
          </w:p>
        </w:tc>
        <w:tc>
          <w:tcPr>
            <w:tcW w:w="2245" w:type="dxa"/>
            <w:tcBorders>
              <w:left w:val="none" w:sz="0" w:space="0" w:color="auto"/>
              <w:right w:val="none" w:sz="0" w:space="0" w:color="auto"/>
            </w:tcBorders>
            <w:shd w:val="clear" w:color="auto" w:fill="FFFFFF" w:themeFill="background1"/>
          </w:tcPr>
          <w:p w:rsidR="00F71D1F" w:rsidRPr="008B43F6" w:rsidRDefault="00F71D1F" w:rsidP="00C12621">
            <w:pPr>
              <w:spacing w:line="276" w:lineRule="auto"/>
              <w:jc w:val="both"/>
              <w:cnfStyle w:val="000000100000" w:firstRow="0" w:lastRow="0" w:firstColumn="0" w:lastColumn="0" w:oddVBand="0" w:evenVBand="0" w:oddHBand="1" w:evenHBand="0" w:firstRowFirstColumn="0" w:firstRowLastColumn="0" w:lastRowFirstColumn="0" w:lastRowLastColumn="0"/>
              <w:rPr>
                <w:color w:val="auto"/>
                <w:sz w:val="18"/>
                <w:szCs w:val="18"/>
              </w:rPr>
            </w:pPr>
            <w:r w:rsidRPr="008B43F6">
              <w:rPr>
                <w:color w:val="auto"/>
                <w:sz w:val="18"/>
                <w:szCs w:val="18"/>
              </w:rPr>
              <w:t>2,500</w:t>
            </w:r>
          </w:p>
        </w:tc>
      </w:tr>
      <w:tr w:rsidR="00F71D1F" w:rsidRPr="008B43F6" w:rsidTr="00D5769B">
        <w:tc>
          <w:tcPr>
            <w:cnfStyle w:val="001000000000" w:firstRow="0" w:lastRow="0" w:firstColumn="1" w:lastColumn="0" w:oddVBand="0" w:evenVBand="0" w:oddHBand="0" w:evenHBand="0" w:firstRowFirstColumn="0" w:firstRowLastColumn="0" w:lastRowFirstColumn="0" w:lastRowLastColumn="0"/>
            <w:tcW w:w="2244" w:type="dxa"/>
            <w:shd w:val="clear" w:color="auto" w:fill="FFFFFF" w:themeFill="background1"/>
          </w:tcPr>
          <w:p w:rsidR="00F71D1F" w:rsidRPr="008B43F6" w:rsidRDefault="00F71D1F" w:rsidP="00C12621">
            <w:pPr>
              <w:spacing w:line="276" w:lineRule="auto"/>
              <w:jc w:val="both"/>
              <w:rPr>
                <w:color w:val="auto"/>
                <w:sz w:val="18"/>
                <w:szCs w:val="18"/>
              </w:rPr>
            </w:pPr>
            <w:r w:rsidRPr="008B43F6">
              <w:rPr>
                <w:color w:val="auto"/>
                <w:sz w:val="18"/>
                <w:szCs w:val="18"/>
              </w:rPr>
              <w:t>Estufa de leña</w:t>
            </w:r>
          </w:p>
        </w:tc>
        <w:tc>
          <w:tcPr>
            <w:tcW w:w="2244" w:type="dxa"/>
            <w:shd w:val="clear" w:color="auto" w:fill="FFFFFF" w:themeFill="background1"/>
          </w:tcPr>
          <w:p w:rsidR="00F71D1F" w:rsidRPr="008B43F6" w:rsidRDefault="00F71D1F" w:rsidP="00C12621">
            <w:pPr>
              <w:spacing w:line="276" w:lineRule="auto"/>
              <w:jc w:val="both"/>
              <w:cnfStyle w:val="000000000000" w:firstRow="0" w:lastRow="0" w:firstColumn="0" w:lastColumn="0" w:oddVBand="0" w:evenVBand="0" w:oddHBand="0" w:evenHBand="0" w:firstRowFirstColumn="0" w:firstRowLastColumn="0" w:lastRowFirstColumn="0" w:lastRowLastColumn="0"/>
              <w:rPr>
                <w:color w:val="auto"/>
                <w:sz w:val="18"/>
                <w:szCs w:val="18"/>
              </w:rPr>
            </w:pPr>
            <w:r w:rsidRPr="008B43F6">
              <w:rPr>
                <w:color w:val="auto"/>
                <w:sz w:val="18"/>
                <w:szCs w:val="18"/>
              </w:rPr>
              <w:t>Fogón a 3 piedras</w:t>
            </w:r>
          </w:p>
        </w:tc>
        <w:tc>
          <w:tcPr>
            <w:tcW w:w="2245" w:type="dxa"/>
            <w:shd w:val="clear" w:color="auto" w:fill="FFFFFF" w:themeFill="background1"/>
          </w:tcPr>
          <w:p w:rsidR="00F71D1F" w:rsidRPr="008B43F6" w:rsidRDefault="00F71D1F" w:rsidP="00C12621">
            <w:pPr>
              <w:spacing w:line="276" w:lineRule="auto"/>
              <w:jc w:val="both"/>
              <w:cnfStyle w:val="000000000000" w:firstRow="0" w:lastRow="0" w:firstColumn="0" w:lastColumn="0" w:oddVBand="0" w:evenVBand="0" w:oddHBand="0" w:evenHBand="0" w:firstRowFirstColumn="0" w:firstRowLastColumn="0" w:lastRowFirstColumn="0" w:lastRowLastColumn="0"/>
              <w:rPr>
                <w:color w:val="auto"/>
                <w:sz w:val="18"/>
                <w:szCs w:val="18"/>
              </w:rPr>
            </w:pPr>
            <w:r w:rsidRPr="008B43F6">
              <w:rPr>
                <w:color w:val="auto"/>
                <w:sz w:val="18"/>
                <w:szCs w:val="18"/>
              </w:rPr>
              <w:t xml:space="preserve">19 </w:t>
            </w:r>
          </w:p>
        </w:tc>
        <w:tc>
          <w:tcPr>
            <w:tcW w:w="2245" w:type="dxa"/>
            <w:shd w:val="clear" w:color="auto" w:fill="FFFFFF" w:themeFill="background1"/>
          </w:tcPr>
          <w:p w:rsidR="00F71D1F" w:rsidRPr="008B43F6" w:rsidRDefault="00F71D1F" w:rsidP="00C12621">
            <w:pPr>
              <w:spacing w:line="276" w:lineRule="auto"/>
              <w:jc w:val="both"/>
              <w:cnfStyle w:val="000000000000" w:firstRow="0" w:lastRow="0" w:firstColumn="0" w:lastColumn="0" w:oddVBand="0" w:evenVBand="0" w:oddHBand="0" w:evenHBand="0" w:firstRowFirstColumn="0" w:firstRowLastColumn="0" w:lastRowFirstColumn="0" w:lastRowLastColumn="0"/>
              <w:rPr>
                <w:color w:val="auto"/>
                <w:sz w:val="18"/>
                <w:szCs w:val="18"/>
              </w:rPr>
            </w:pPr>
            <w:r w:rsidRPr="008B43F6">
              <w:rPr>
                <w:color w:val="auto"/>
                <w:sz w:val="18"/>
                <w:szCs w:val="18"/>
              </w:rPr>
              <w:t>No aplica</w:t>
            </w:r>
          </w:p>
        </w:tc>
      </w:tr>
    </w:tbl>
    <w:p w:rsidR="00F71D1F" w:rsidRPr="008B43F6" w:rsidRDefault="00034369" w:rsidP="00C12621">
      <w:pPr>
        <w:jc w:val="both"/>
        <w:rPr>
          <w:sz w:val="18"/>
          <w:szCs w:val="18"/>
        </w:rPr>
      </w:pPr>
      <w:r w:rsidRPr="008B43F6">
        <w:rPr>
          <w:b/>
          <w:sz w:val="18"/>
          <w:szCs w:val="18"/>
        </w:rPr>
        <w:t>Fuente:</w:t>
      </w:r>
      <w:r w:rsidRPr="008B43F6">
        <w:rPr>
          <w:sz w:val="18"/>
          <w:szCs w:val="18"/>
        </w:rPr>
        <w:t xml:space="preserve"> CONAFOVI, PROFECO </w:t>
      </w:r>
      <w:r w:rsidRPr="008B43F6">
        <w:rPr>
          <w:sz w:val="18"/>
          <w:szCs w:val="18"/>
        </w:rPr>
        <w:fldChar w:fldCharType="begin"/>
      </w:r>
      <w:r w:rsidRPr="008B43F6">
        <w:rPr>
          <w:sz w:val="18"/>
          <w:szCs w:val="18"/>
        </w:rPr>
        <w:instrText xml:space="preserve"> ADDIN EN.CITE &lt;EndNote&gt;&lt;Cite&gt;&lt;Year&gt;2006&lt;/Year&gt;&lt;RecNum&gt;59&lt;/RecNum&gt;&lt;DisplayText&gt;[24, 25]&lt;/DisplayText&gt;&lt;record&gt;&lt;rec-number&gt;59&lt;/rec-number&gt;&lt;foreign-keys&gt;&lt;key app="EN" db-id="w0w9edzzlxxfdgesvf359ft8wzxverspwaav"&gt;59&lt;/key&gt;&lt;/foreign-keys&gt;&lt;ref-type name="Government Document"&gt;46&lt;/ref-type&gt;&lt;contributors&gt;&lt;/contributors&gt;&lt;titles&gt;&lt;title&gt;Uso eficiente de la energía en la vivienda&lt;/title&gt;&lt;/titles&gt;&lt;dates&gt;&lt;year&gt;2006&lt;/year&gt;&lt;/dates&gt;&lt;urls&gt;&lt;/urls&gt;&lt;custom1&gt;Comisión Nacional de Fomento a la vivienda (CONAFOVI)&lt;/custom1&gt;&lt;/record&gt;&lt;/Cite&gt;&lt;Cite&gt;&lt;Author&gt;PROFECO&lt;/Author&gt;&lt;RecNum&gt;93&lt;/RecNum&gt;&lt;record&gt;&lt;rec-number&gt;93&lt;/rec-number&gt;&lt;foreign-keys&gt;&lt;key app="EN" db-id="w0w9edzzlxxfdgesvf359ft8wzxverspwaav"&gt;93&lt;/key&gt;&lt;/foreign-keys&gt;&lt;ref-type name="Web Page"&gt;12&lt;/ref-type&gt;&lt;contributors&gt;&lt;authors&gt;&lt;author&gt;PROFECO&lt;/author&gt;&lt;/authors&gt;&lt;/contributors&gt;&lt;titles&gt;&lt;title&gt;Procuraduría Federal del Consumidor&lt;/title&gt;&lt;/titles&gt;&lt;dates&gt;&lt;/dates&gt;&lt;pub-location&gt;México&lt;/pub-location&gt;&lt;urls&gt;&lt;related-urls&gt;&lt;url&gt;http://www.profeco.gob.mx/&lt;/url&gt;&lt;/related-urls&gt;&lt;/urls&gt;&lt;/record&gt;&lt;/Cite&gt;&lt;/EndNote&gt;</w:instrText>
      </w:r>
      <w:r w:rsidRPr="008B43F6">
        <w:rPr>
          <w:sz w:val="18"/>
          <w:szCs w:val="18"/>
        </w:rPr>
        <w:fldChar w:fldCharType="separate"/>
      </w:r>
      <w:r w:rsidRPr="008B43F6">
        <w:rPr>
          <w:noProof/>
          <w:sz w:val="18"/>
          <w:szCs w:val="18"/>
        </w:rPr>
        <w:t>[</w:t>
      </w:r>
      <w:hyperlink w:anchor="_ENREF_24" w:tooltip=", 2006 #59" w:history="1">
        <w:r w:rsidR="00251C87" w:rsidRPr="008B43F6">
          <w:rPr>
            <w:noProof/>
            <w:sz w:val="18"/>
            <w:szCs w:val="18"/>
          </w:rPr>
          <w:t>24</w:t>
        </w:r>
      </w:hyperlink>
      <w:r w:rsidRPr="008B43F6">
        <w:rPr>
          <w:noProof/>
          <w:sz w:val="18"/>
          <w:szCs w:val="18"/>
        </w:rPr>
        <w:t xml:space="preserve">, </w:t>
      </w:r>
      <w:hyperlink w:anchor="_ENREF_25" w:tooltip="PROFECO,  #93" w:history="1">
        <w:r w:rsidR="00251C87" w:rsidRPr="008B43F6">
          <w:rPr>
            <w:noProof/>
            <w:sz w:val="18"/>
            <w:szCs w:val="18"/>
          </w:rPr>
          <w:t>25</w:t>
        </w:r>
      </w:hyperlink>
      <w:r w:rsidRPr="008B43F6">
        <w:rPr>
          <w:noProof/>
          <w:sz w:val="18"/>
          <w:szCs w:val="18"/>
        </w:rPr>
        <w:t>]</w:t>
      </w:r>
      <w:r w:rsidRPr="008B43F6">
        <w:rPr>
          <w:sz w:val="18"/>
          <w:szCs w:val="18"/>
        </w:rPr>
        <w:fldChar w:fldCharType="end"/>
      </w:r>
      <w:r w:rsidRPr="008B43F6">
        <w:rPr>
          <w:rStyle w:val="Refdenotaalpie"/>
          <w:sz w:val="18"/>
          <w:szCs w:val="18"/>
        </w:rPr>
        <w:footnoteReference w:id="4"/>
      </w:r>
    </w:p>
    <w:p w:rsidR="005F7B70" w:rsidRPr="008B43F6" w:rsidRDefault="005F7B70" w:rsidP="00C12621">
      <w:pPr>
        <w:jc w:val="both"/>
        <w:rPr>
          <w:color w:val="1F497D" w:themeColor="text2"/>
          <w:sz w:val="16"/>
          <w:szCs w:val="16"/>
        </w:rPr>
      </w:pPr>
    </w:p>
    <w:p w:rsidR="00A97CBB" w:rsidRPr="008B43F6" w:rsidRDefault="005C7E01" w:rsidP="00C12621">
      <w:pPr>
        <w:pStyle w:val="Ttulo2"/>
        <w:numPr>
          <w:ilvl w:val="1"/>
          <w:numId w:val="32"/>
        </w:numPr>
        <w:jc w:val="both"/>
        <w:rPr>
          <w:rFonts w:asciiTheme="minorHAnsi" w:hAnsiTheme="minorHAnsi"/>
        </w:rPr>
      </w:pPr>
      <w:bookmarkStart w:id="62" w:name="_Toc350874978"/>
      <w:bookmarkStart w:id="63" w:name="_Toc351397590"/>
      <w:r w:rsidRPr="008B43F6">
        <w:rPr>
          <w:rFonts w:asciiTheme="minorHAnsi" w:hAnsiTheme="minorHAnsi"/>
        </w:rPr>
        <w:lastRenderedPageBreak/>
        <w:t>Energía</w:t>
      </w:r>
      <w:bookmarkEnd w:id="62"/>
      <w:bookmarkEnd w:id="63"/>
    </w:p>
    <w:p w:rsidR="001927B4" w:rsidRPr="008B43F6" w:rsidRDefault="00A97CBB" w:rsidP="00C12621">
      <w:pPr>
        <w:pStyle w:val="Ttulo3"/>
        <w:jc w:val="both"/>
        <w:rPr>
          <w:rFonts w:asciiTheme="minorHAnsi" w:hAnsiTheme="minorHAnsi"/>
        </w:rPr>
      </w:pPr>
      <w:bookmarkStart w:id="64" w:name="_Toc350874979"/>
      <w:bookmarkStart w:id="65" w:name="_Toc351397591"/>
      <w:r w:rsidRPr="008B43F6">
        <w:rPr>
          <w:rFonts w:asciiTheme="minorHAnsi" w:hAnsiTheme="minorHAnsi"/>
        </w:rPr>
        <w:t xml:space="preserve">4.2.1 </w:t>
      </w:r>
      <w:r w:rsidR="001927B4" w:rsidRPr="008B43F6">
        <w:rPr>
          <w:rFonts w:asciiTheme="minorHAnsi" w:hAnsiTheme="minorHAnsi"/>
        </w:rPr>
        <w:t>Generación de electricidad</w:t>
      </w:r>
      <w:bookmarkEnd w:id="64"/>
      <w:bookmarkEnd w:id="65"/>
    </w:p>
    <w:p w:rsidR="00D03A2D" w:rsidRPr="008B43F6" w:rsidRDefault="00B14288" w:rsidP="00C12621">
      <w:pPr>
        <w:jc w:val="both"/>
      </w:pPr>
      <w:r w:rsidRPr="008B43F6">
        <w:t xml:space="preserve">Para establecer los beneficios ambientales del ahorro de energía eléctrica se considera que la electricidad que se utiliza en </w:t>
      </w:r>
      <w:r w:rsidR="00894878" w:rsidRPr="008B43F6">
        <w:t>las viviendas</w:t>
      </w:r>
      <w:r w:rsidRPr="008B43F6">
        <w:t xml:space="preserve"> proviene del Sistema Eléctrico Nacional, el cual tuvo, para 2010, una</w:t>
      </w:r>
      <w:r w:rsidR="00D03A2D" w:rsidRPr="008B43F6">
        <w:t xml:space="preserve"> generación bruta de electricidad</w:t>
      </w:r>
      <w:r w:rsidR="00D5769B" w:rsidRPr="008B43F6">
        <w:t xml:space="preserve"> </w:t>
      </w:r>
      <w:r w:rsidR="00D03A2D" w:rsidRPr="008B43F6">
        <w:t>de 241,491 GWh</w:t>
      </w:r>
      <w:r w:rsidR="00894878" w:rsidRPr="008B43F6">
        <w:t xml:space="preserve"> </w:t>
      </w:r>
      <w:r w:rsidR="00894878" w:rsidRPr="008B43F6">
        <w:fldChar w:fldCharType="begin"/>
      </w:r>
      <w:r w:rsidR="00756D50" w:rsidRPr="008B43F6">
        <w:instrText xml:space="preserve"> ADDIN EN.CITE &lt;EndNote&gt;&lt;Cite&gt;&lt;Author&gt;SENER&lt;/Author&gt;&lt;RecNum&gt;61&lt;/RecNum&gt;&lt;DisplayText&gt;[8]&lt;/DisplayText&gt;&lt;record&gt;&lt;rec-number&gt;61&lt;/rec-number&gt;&lt;foreign-keys&gt;&lt;key app="EN" db-id="w0w9edzzlxxfdgesvf359ft8wzxverspwaav"&gt;61&lt;/key&gt;&lt;/foreign-keys&gt;&lt;ref-type name="Web Page"&gt;12&lt;/ref-type&gt;&lt;contributors&gt;&lt;authors&gt;&lt;author&gt;SENER&lt;/author&gt;&lt;/authors&gt;&lt;/contributors&gt;&lt;titles&gt;&lt;title&gt;Sistema de Información Energética&lt;/title&gt;&lt;/titles&gt;&lt;dates&gt;&lt;/dates&gt;&lt;urls&gt;&lt;related-urls&gt;&lt;url&gt;www.sie.energia.gob.mx&lt;/url&gt;&lt;/related-urls&gt;&lt;/urls&gt;&lt;/record&gt;&lt;/Cite&gt;&lt;/EndNote&gt;</w:instrText>
      </w:r>
      <w:r w:rsidR="00894878" w:rsidRPr="008B43F6">
        <w:fldChar w:fldCharType="separate"/>
      </w:r>
      <w:r w:rsidR="00756D50" w:rsidRPr="008B43F6">
        <w:rPr>
          <w:noProof/>
        </w:rPr>
        <w:t>[</w:t>
      </w:r>
      <w:hyperlink w:anchor="_ENREF_8" w:tooltip="SENER,  #61" w:history="1">
        <w:r w:rsidR="00251C87" w:rsidRPr="008B43F6">
          <w:rPr>
            <w:noProof/>
          </w:rPr>
          <w:t>8</w:t>
        </w:r>
      </w:hyperlink>
      <w:r w:rsidR="00756D50" w:rsidRPr="008B43F6">
        <w:rPr>
          <w:noProof/>
        </w:rPr>
        <w:t>]</w:t>
      </w:r>
      <w:r w:rsidR="00894878" w:rsidRPr="008B43F6">
        <w:fldChar w:fldCharType="end"/>
      </w:r>
      <w:r w:rsidR="00894878" w:rsidRPr="008B43F6">
        <w:t>.</w:t>
      </w:r>
      <w:r w:rsidRPr="008B43F6">
        <w:t xml:space="preserve"> </w:t>
      </w:r>
      <w:r w:rsidR="00894878" w:rsidRPr="008B43F6">
        <w:t>Dicha</w:t>
      </w:r>
      <w:r w:rsidRPr="008B43F6">
        <w:t xml:space="preserve"> generación provino</w:t>
      </w:r>
      <w:r w:rsidR="00D03A2D" w:rsidRPr="008B43F6">
        <w:t xml:space="preserve"> en un 79.5% de combustibles fósiles</w:t>
      </w:r>
      <w:r w:rsidR="00894878" w:rsidRPr="008B43F6">
        <w:t>,</w:t>
      </w:r>
      <w:r w:rsidR="00D03A2D" w:rsidRPr="008B43F6">
        <w:t xml:space="preserve">  18% de energéticos renovables</w:t>
      </w:r>
      <w:r w:rsidR="00894878" w:rsidRPr="008B43F6">
        <w:t>,</w:t>
      </w:r>
      <w:r w:rsidR="00D03A2D" w:rsidRPr="008B43F6">
        <w:t xml:space="preserve"> 15.2%</w:t>
      </w:r>
      <w:r w:rsidR="00894878" w:rsidRPr="008B43F6">
        <w:t xml:space="preserve"> de generación hidroeléctrica</w:t>
      </w:r>
      <w:r w:rsidR="00D03A2D" w:rsidRPr="008B43F6">
        <w:t xml:space="preserve">, </w:t>
      </w:r>
      <w:r w:rsidR="00894878" w:rsidRPr="008B43F6">
        <w:t xml:space="preserve">2.7% </w:t>
      </w:r>
      <w:r w:rsidR="00D03A2D" w:rsidRPr="008B43F6">
        <w:t>geotermoeléctrica y 0.1%</w:t>
      </w:r>
      <w:r w:rsidR="00894878" w:rsidRPr="008B43F6">
        <w:t xml:space="preserve"> eólica</w:t>
      </w:r>
      <w:r w:rsidR="00D03A2D" w:rsidRPr="008B43F6">
        <w:t>;  el restante 2.5% pertenece a la generación con energía nuclear</w:t>
      </w:r>
      <w:r w:rsidR="00D5769B" w:rsidRPr="008B43F6">
        <w:t xml:space="preserve"> (</w:t>
      </w:r>
      <w:r w:rsidR="00176AC8" w:rsidRPr="008B43F6">
        <w:t>Figura</w:t>
      </w:r>
      <w:r w:rsidR="00D5769B" w:rsidRPr="008B43F6">
        <w:t xml:space="preserve"> 4.8)</w:t>
      </w:r>
      <w:r w:rsidR="00D03A2D" w:rsidRPr="008B43F6">
        <w:t>.</w:t>
      </w:r>
    </w:p>
    <w:p w:rsidR="00D03A2D" w:rsidRPr="008B43F6" w:rsidRDefault="00D03A2D" w:rsidP="00C12621">
      <w:pPr>
        <w:spacing w:after="0"/>
        <w:jc w:val="both"/>
        <w:rPr>
          <w:color w:val="1F497D" w:themeColor="text2"/>
        </w:rPr>
      </w:pPr>
    </w:p>
    <w:p w:rsidR="006E7134" w:rsidRPr="008B43F6" w:rsidRDefault="00176AC8" w:rsidP="00C12621">
      <w:pPr>
        <w:spacing w:after="0"/>
        <w:jc w:val="both"/>
        <w:rPr>
          <w:sz w:val="18"/>
          <w:szCs w:val="18"/>
        </w:rPr>
      </w:pPr>
      <w:r w:rsidRPr="008B43F6">
        <w:rPr>
          <w:b/>
          <w:sz w:val="18"/>
          <w:szCs w:val="18"/>
        </w:rPr>
        <w:t>Figura</w:t>
      </w:r>
      <w:r w:rsidR="006E7134" w:rsidRPr="008B43F6">
        <w:rPr>
          <w:b/>
          <w:sz w:val="18"/>
          <w:szCs w:val="18"/>
        </w:rPr>
        <w:t xml:space="preserve"> </w:t>
      </w:r>
      <w:r w:rsidR="00C01859" w:rsidRPr="008B43F6">
        <w:rPr>
          <w:b/>
          <w:sz w:val="18"/>
          <w:szCs w:val="18"/>
        </w:rPr>
        <w:t>4.</w:t>
      </w:r>
      <w:r w:rsidR="00165CC7" w:rsidRPr="008B43F6">
        <w:rPr>
          <w:b/>
          <w:sz w:val="18"/>
          <w:szCs w:val="18"/>
        </w:rPr>
        <w:t>8</w:t>
      </w:r>
      <w:r w:rsidR="006E7134" w:rsidRPr="008B43F6">
        <w:rPr>
          <w:sz w:val="18"/>
          <w:szCs w:val="18"/>
        </w:rPr>
        <w:t xml:space="preserve"> </w:t>
      </w:r>
      <w:r w:rsidR="00027D3B" w:rsidRPr="008B43F6">
        <w:rPr>
          <w:sz w:val="18"/>
          <w:szCs w:val="18"/>
        </w:rPr>
        <w:t>Generación de electricidad en México, 2010</w:t>
      </w:r>
    </w:p>
    <w:p w:rsidR="00C01859" w:rsidRPr="008B43F6" w:rsidRDefault="00C01859" w:rsidP="00C12621">
      <w:pPr>
        <w:spacing w:after="0"/>
        <w:jc w:val="both"/>
        <w:rPr>
          <w:noProof/>
          <w:sz w:val="18"/>
          <w:szCs w:val="18"/>
          <w:lang w:eastAsia="es-MX"/>
        </w:rPr>
      </w:pPr>
    </w:p>
    <w:p w:rsidR="006E7134" w:rsidRPr="008B43F6" w:rsidRDefault="006E7134" w:rsidP="00C12621">
      <w:pPr>
        <w:spacing w:after="0"/>
        <w:jc w:val="both"/>
        <w:rPr>
          <w:sz w:val="18"/>
          <w:szCs w:val="18"/>
        </w:rPr>
      </w:pPr>
      <w:r w:rsidRPr="008B43F6">
        <w:rPr>
          <w:noProof/>
          <w:sz w:val="18"/>
          <w:szCs w:val="18"/>
          <w:lang w:eastAsia="es-MX"/>
        </w:rPr>
        <w:drawing>
          <wp:inline distT="0" distB="0" distL="0" distR="0" wp14:anchorId="4ED6D220" wp14:editId="2247FCBA">
            <wp:extent cx="3296057" cy="2160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96057" cy="2160000"/>
                    </a:xfrm>
                    <a:prstGeom prst="rect">
                      <a:avLst/>
                    </a:prstGeom>
                    <a:noFill/>
                    <a:ln>
                      <a:noFill/>
                    </a:ln>
                  </pic:spPr>
                </pic:pic>
              </a:graphicData>
            </a:graphic>
          </wp:inline>
        </w:drawing>
      </w:r>
    </w:p>
    <w:p w:rsidR="005F7B70" w:rsidRPr="008B43F6" w:rsidRDefault="00E75797" w:rsidP="00C12621">
      <w:pPr>
        <w:spacing w:after="0"/>
        <w:jc w:val="both"/>
        <w:rPr>
          <w:sz w:val="18"/>
          <w:szCs w:val="18"/>
        </w:rPr>
      </w:pPr>
      <w:r w:rsidRPr="008B43F6">
        <w:rPr>
          <w:sz w:val="18"/>
          <w:szCs w:val="18"/>
        </w:rPr>
        <w:t>Fuente: Elaboración</w:t>
      </w:r>
      <w:r w:rsidR="005F7B70" w:rsidRPr="008B43F6">
        <w:rPr>
          <w:sz w:val="18"/>
          <w:szCs w:val="18"/>
        </w:rPr>
        <w:t xml:space="preserve"> propia con datos del Sistema de Información Energética, SENER</w:t>
      </w:r>
      <w:r w:rsidR="00894878" w:rsidRPr="008B43F6">
        <w:rPr>
          <w:sz w:val="18"/>
          <w:szCs w:val="18"/>
        </w:rPr>
        <w:t xml:space="preserve"> </w:t>
      </w:r>
      <w:r w:rsidR="00894878" w:rsidRPr="008B43F6">
        <w:rPr>
          <w:sz w:val="18"/>
          <w:szCs w:val="18"/>
        </w:rPr>
        <w:fldChar w:fldCharType="begin"/>
      </w:r>
      <w:r w:rsidR="00756D50" w:rsidRPr="008B43F6">
        <w:rPr>
          <w:sz w:val="18"/>
          <w:szCs w:val="18"/>
        </w:rPr>
        <w:instrText xml:space="preserve"> ADDIN EN.CITE &lt;EndNote&gt;&lt;Cite&gt;&lt;Author&gt;SENER&lt;/Author&gt;&lt;RecNum&gt;61&lt;/RecNum&gt;&lt;DisplayText&gt;[8]&lt;/DisplayText&gt;&lt;record&gt;&lt;rec-number&gt;61&lt;/rec-number&gt;&lt;foreign-keys&gt;&lt;key app="EN" db-id="w0w9edzzlxxfdgesvf359ft8wzxverspwaav"&gt;61&lt;/key&gt;&lt;/foreign-keys&gt;&lt;ref-type name="Web Page"&gt;12&lt;/ref-type&gt;&lt;contributors&gt;&lt;authors&gt;&lt;author&gt;SENER&lt;/author&gt;&lt;/authors&gt;&lt;/contributors&gt;&lt;titles&gt;&lt;title&gt;Sistema de Información Energética&lt;/title&gt;&lt;/titles&gt;&lt;dates&gt;&lt;/dates&gt;&lt;urls&gt;&lt;related-urls&gt;&lt;url&gt;www.sie.energia.gob.mx&lt;/url&gt;&lt;/related-urls&gt;&lt;/urls&gt;&lt;/record&gt;&lt;/Cite&gt;&lt;/EndNote&gt;</w:instrText>
      </w:r>
      <w:r w:rsidR="00894878" w:rsidRPr="008B43F6">
        <w:rPr>
          <w:sz w:val="18"/>
          <w:szCs w:val="18"/>
        </w:rPr>
        <w:fldChar w:fldCharType="separate"/>
      </w:r>
      <w:r w:rsidR="00756D50" w:rsidRPr="008B43F6">
        <w:rPr>
          <w:noProof/>
          <w:sz w:val="18"/>
          <w:szCs w:val="18"/>
        </w:rPr>
        <w:t>[</w:t>
      </w:r>
      <w:hyperlink w:anchor="_ENREF_8" w:tooltip="SENER,  #61" w:history="1">
        <w:r w:rsidR="00251C87" w:rsidRPr="008B43F6">
          <w:rPr>
            <w:noProof/>
            <w:sz w:val="18"/>
            <w:szCs w:val="18"/>
          </w:rPr>
          <w:t>8</w:t>
        </w:r>
      </w:hyperlink>
      <w:r w:rsidR="00756D50" w:rsidRPr="008B43F6">
        <w:rPr>
          <w:noProof/>
          <w:sz w:val="18"/>
          <w:szCs w:val="18"/>
        </w:rPr>
        <w:t>]</w:t>
      </w:r>
      <w:r w:rsidR="00894878" w:rsidRPr="008B43F6">
        <w:rPr>
          <w:sz w:val="18"/>
          <w:szCs w:val="18"/>
        </w:rPr>
        <w:fldChar w:fldCharType="end"/>
      </w:r>
      <w:r w:rsidR="005F7B70" w:rsidRPr="008B43F6">
        <w:rPr>
          <w:sz w:val="18"/>
          <w:szCs w:val="18"/>
        </w:rPr>
        <w:t>.</w:t>
      </w:r>
    </w:p>
    <w:p w:rsidR="005F7B70" w:rsidRPr="008B43F6" w:rsidRDefault="005F7B70" w:rsidP="00C12621">
      <w:pPr>
        <w:spacing w:after="0"/>
        <w:jc w:val="both"/>
        <w:rPr>
          <w:color w:val="1F497D" w:themeColor="text2"/>
        </w:rPr>
      </w:pPr>
    </w:p>
    <w:p w:rsidR="005F7B70" w:rsidRPr="008B43F6" w:rsidRDefault="005F7B70" w:rsidP="00C12621">
      <w:pPr>
        <w:spacing w:after="0"/>
        <w:jc w:val="both"/>
        <w:rPr>
          <w:color w:val="1F497D" w:themeColor="text2"/>
        </w:rPr>
      </w:pPr>
    </w:p>
    <w:p w:rsidR="00D03A2D" w:rsidRPr="008B43F6" w:rsidRDefault="004E4DE8" w:rsidP="00C12621">
      <w:pPr>
        <w:pStyle w:val="Ttulo3"/>
        <w:jc w:val="both"/>
        <w:rPr>
          <w:rFonts w:asciiTheme="minorHAnsi" w:hAnsiTheme="minorHAnsi"/>
        </w:rPr>
      </w:pPr>
      <w:bookmarkStart w:id="66" w:name="_Toc350874980"/>
      <w:bookmarkStart w:id="67" w:name="_Toc351397592"/>
      <w:r w:rsidRPr="008B43F6">
        <w:rPr>
          <w:rFonts w:asciiTheme="minorHAnsi" w:hAnsiTheme="minorHAnsi"/>
        </w:rPr>
        <w:t xml:space="preserve">4.2.2 </w:t>
      </w:r>
      <w:r w:rsidR="001927B4" w:rsidRPr="008B43F6">
        <w:rPr>
          <w:rFonts w:asciiTheme="minorHAnsi" w:hAnsiTheme="minorHAnsi"/>
        </w:rPr>
        <w:t>Energéticos en sector residencial</w:t>
      </w:r>
      <w:bookmarkEnd w:id="66"/>
      <w:bookmarkEnd w:id="67"/>
    </w:p>
    <w:p w:rsidR="00D03A2D" w:rsidRPr="008B43F6" w:rsidRDefault="005F7B70" w:rsidP="00C12621">
      <w:pPr>
        <w:jc w:val="both"/>
      </w:pPr>
      <w:r w:rsidRPr="008B43F6">
        <w:t xml:space="preserve">El sector </w:t>
      </w:r>
      <w:r w:rsidR="00E75797" w:rsidRPr="008B43F6">
        <w:t>r</w:t>
      </w:r>
      <w:r w:rsidRPr="008B43F6">
        <w:t>esidencial en México es el tercero en importancia en cuanto a consumo de energía, sólo después del sector transporte e industrial, en 2010 su consumo fue de 765 PJ</w:t>
      </w:r>
      <w:r w:rsidR="00894878" w:rsidRPr="008B43F6">
        <w:fldChar w:fldCharType="begin"/>
      </w:r>
      <w:r w:rsidR="00756D50" w:rsidRPr="008B43F6">
        <w:instrText xml:space="preserve"> ADDIN EN.CITE &lt;EndNote&gt;&lt;Cite&gt;&lt;Author&gt;SENER&lt;/Author&gt;&lt;RecNum&gt;61&lt;/RecNum&gt;&lt;DisplayText&gt;[8]&lt;/DisplayText&gt;&lt;record&gt;&lt;rec-number&gt;61&lt;/rec-number&gt;&lt;foreign-keys&gt;&lt;key app="EN" db-id="w0w9edzzlxxfdgesvf359ft8wzxverspwaav"&gt;61&lt;/key&gt;&lt;/foreign-keys&gt;&lt;ref-type name="Web Page"&gt;12&lt;/ref-type&gt;&lt;contributors&gt;&lt;authors&gt;&lt;author&gt;SENER&lt;/author&gt;&lt;/authors&gt;&lt;/contributors&gt;&lt;titles&gt;&lt;title&gt;Sistema de Información Energética&lt;/title&gt;&lt;/titles&gt;&lt;dates&gt;&lt;/dates&gt;&lt;urls&gt;&lt;related-urls&gt;&lt;url&gt;www.sie.energia.gob.mx&lt;/url&gt;&lt;/related-urls&gt;&lt;/urls&gt;&lt;/record&gt;&lt;/Cite&gt;&lt;/EndNote&gt;</w:instrText>
      </w:r>
      <w:r w:rsidR="00894878" w:rsidRPr="008B43F6">
        <w:fldChar w:fldCharType="separate"/>
      </w:r>
      <w:r w:rsidR="00756D50" w:rsidRPr="008B43F6">
        <w:rPr>
          <w:noProof/>
        </w:rPr>
        <w:t>[</w:t>
      </w:r>
      <w:hyperlink w:anchor="_ENREF_8" w:tooltip="SENER,  #61" w:history="1">
        <w:r w:rsidR="00251C87" w:rsidRPr="008B43F6">
          <w:rPr>
            <w:noProof/>
          </w:rPr>
          <w:t>8</w:t>
        </w:r>
      </w:hyperlink>
      <w:r w:rsidR="00756D50" w:rsidRPr="008B43F6">
        <w:rPr>
          <w:noProof/>
        </w:rPr>
        <w:t>]</w:t>
      </w:r>
      <w:r w:rsidR="00894878" w:rsidRPr="008B43F6">
        <w:fldChar w:fldCharType="end"/>
      </w:r>
      <w:r w:rsidRPr="008B43F6">
        <w:t>.</w:t>
      </w:r>
    </w:p>
    <w:p w:rsidR="001E4A49" w:rsidRPr="008B43F6" w:rsidRDefault="001E4A49" w:rsidP="00C12621">
      <w:pPr>
        <w:pStyle w:val="Ttulo3"/>
        <w:jc w:val="both"/>
        <w:rPr>
          <w:rFonts w:asciiTheme="minorHAnsi" w:hAnsiTheme="minorHAnsi"/>
        </w:rPr>
      </w:pPr>
    </w:p>
    <w:p w:rsidR="00A42856" w:rsidRPr="008B43F6" w:rsidRDefault="00A42856" w:rsidP="00C12621">
      <w:pPr>
        <w:jc w:val="both"/>
      </w:pPr>
      <w:r w:rsidRPr="008B43F6">
        <w:t>Una revisión de la evolución del consumo de energía del sector a lo largo de 45 años muestra un acelerado crecimiento hasta mediados de los años noventa, que son los años en los que se comienzan a reflejar los efectos de las políticas orientadas al ahorro de energía en México (</w:t>
      </w:r>
      <w:r w:rsidR="00176AC8" w:rsidRPr="008B43F6">
        <w:t>Figura</w:t>
      </w:r>
      <w:r w:rsidRPr="008B43F6">
        <w:t xml:space="preserve"> 4.9). En esta evolución, mientras que en 1965 el energético predominante era la leña, para 2010 el de mayor consumo (en términos energéticos) es el gas LP, mientras que el de mayor crecimiento es el de la electricidad. Para este último año el consumo de energía del sector fu</w:t>
      </w:r>
      <w:r w:rsidR="00C92E54" w:rsidRPr="008B43F6">
        <w:t>e de aproximadamente 750 PJ</w:t>
      </w:r>
      <w:r w:rsidRPr="008B43F6">
        <w:t>.</w:t>
      </w:r>
    </w:p>
    <w:p w:rsidR="00A42856" w:rsidRPr="008B43F6" w:rsidRDefault="00A42856" w:rsidP="00C12621">
      <w:pPr>
        <w:jc w:val="both"/>
        <w:rPr>
          <w:rFonts w:cs="Tahoma"/>
          <w:sz w:val="20"/>
          <w:szCs w:val="20"/>
        </w:rPr>
      </w:pPr>
    </w:p>
    <w:p w:rsidR="00C92E54" w:rsidRPr="008B43F6" w:rsidRDefault="00C92E54" w:rsidP="00C12621">
      <w:pPr>
        <w:jc w:val="both"/>
        <w:rPr>
          <w:rFonts w:eastAsia="Times New Roman" w:cs="Tahoma"/>
          <w:b/>
          <w:sz w:val="20"/>
          <w:szCs w:val="20"/>
          <w:lang w:eastAsia="es-ES"/>
        </w:rPr>
      </w:pPr>
      <w:r w:rsidRPr="008B43F6">
        <w:rPr>
          <w:rFonts w:cs="Tahoma"/>
          <w:bCs/>
        </w:rPr>
        <w:br w:type="page"/>
      </w:r>
    </w:p>
    <w:p w:rsidR="00A42856" w:rsidRPr="008B43F6" w:rsidRDefault="00176AC8" w:rsidP="00C12621">
      <w:pPr>
        <w:pStyle w:val="Epgrafe"/>
        <w:spacing w:line="276" w:lineRule="auto"/>
        <w:jc w:val="both"/>
        <w:rPr>
          <w:rFonts w:asciiTheme="minorHAnsi" w:hAnsiTheme="minorHAnsi" w:cs="Tahoma"/>
          <w:bCs w:val="0"/>
          <w:sz w:val="18"/>
          <w:szCs w:val="18"/>
          <w:lang w:val="es-MX"/>
        </w:rPr>
      </w:pPr>
      <w:r w:rsidRPr="008B43F6">
        <w:rPr>
          <w:rFonts w:asciiTheme="minorHAnsi" w:hAnsiTheme="minorHAnsi" w:cs="Tahoma"/>
          <w:bCs w:val="0"/>
          <w:sz w:val="18"/>
          <w:szCs w:val="18"/>
          <w:lang w:val="es-MX"/>
        </w:rPr>
        <w:lastRenderedPageBreak/>
        <w:t>Figura</w:t>
      </w:r>
      <w:r w:rsidR="00A42856" w:rsidRPr="008B43F6">
        <w:rPr>
          <w:rFonts w:asciiTheme="minorHAnsi" w:hAnsiTheme="minorHAnsi" w:cs="Tahoma"/>
          <w:bCs w:val="0"/>
          <w:sz w:val="18"/>
          <w:szCs w:val="18"/>
          <w:lang w:val="es-MX"/>
        </w:rPr>
        <w:t xml:space="preserve"> 4.9</w:t>
      </w:r>
      <w:r w:rsidR="00A42856" w:rsidRPr="008B43F6">
        <w:rPr>
          <w:rFonts w:asciiTheme="minorHAnsi" w:hAnsiTheme="minorHAnsi" w:cs="Tahoma"/>
          <w:b w:val="0"/>
          <w:bCs w:val="0"/>
          <w:sz w:val="18"/>
          <w:szCs w:val="18"/>
          <w:lang w:val="es-MX"/>
        </w:rPr>
        <w:t xml:space="preserve">  Consumo de energía del sector residencial 1965-2010</w:t>
      </w:r>
    </w:p>
    <w:p w:rsidR="00A42856" w:rsidRPr="008B43F6" w:rsidRDefault="00C26C74" w:rsidP="00C12621">
      <w:pPr>
        <w:jc w:val="both"/>
        <w:rPr>
          <w:rFonts w:cs="Tahoma"/>
          <w:sz w:val="18"/>
          <w:szCs w:val="18"/>
        </w:rPr>
      </w:pPr>
      <w:r w:rsidRPr="00C26C74">
        <w:rPr>
          <w:noProof/>
          <w:lang w:eastAsia="es-MX"/>
        </w:rPr>
        <w:drawing>
          <wp:inline distT="0" distB="0" distL="0" distR="0" wp14:anchorId="3EB74303" wp14:editId="1792A2F5">
            <wp:extent cx="3799723" cy="25200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99723" cy="2520000"/>
                    </a:xfrm>
                    <a:prstGeom prst="rect">
                      <a:avLst/>
                    </a:prstGeom>
                    <a:noFill/>
                    <a:ln>
                      <a:noFill/>
                    </a:ln>
                  </pic:spPr>
                </pic:pic>
              </a:graphicData>
            </a:graphic>
          </wp:inline>
        </w:drawing>
      </w:r>
    </w:p>
    <w:p w:rsidR="00A42856" w:rsidRPr="008B43F6" w:rsidRDefault="00A42856" w:rsidP="00C12621">
      <w:pPr>
        <w:jc w:val="both"/>
        <w:rPr>
          <w:rFonts w:cs="Tahoma"/>
          <w:sz w:val="18"/>
          <w:szCs w:val="18"/>
        </w:rPr>
      </w:pPr>
      <w:r w:rsidRPr="008B43F6">
        <w:rPr>
          <w:rFonts w:cs="Tahoma"/>
          <w:b/>
          <w:sz w:val="18"/>
          <w:szCs w:val="18"/>
        </w:rPr>
        <w:t>Fuente:</w:t>
      </w:r>
      <w:r w:rsidRPr="008B43F6">
        <w:rPr>
          <w:rFonts w:cs="Tahoma"/>
          <w:sz w:val="18"/>
          <w:szCs w:val="18"/>
        </w:rPr>
        <w:t xml:space="preserve"> SIE-SENER </w:t>
      </w:r>
      <w:r w:rsidRPr="008B43F6">
        <w:rPr>
          <w:rFonts w:cs="Tahoma"/>
          <w:sz w:val="18"/>
          <w:szCs w:val="18"/>
        </w:rPr>
        <w:fldChar w:fldCharType="begin"/>
      </w:r>
      <w:r w:rsidRPr="008B43F6">
        <w:rPr>
          <w:rFonts w:cs="Tahoma"/>
          <w:sz w:val="18"/>
          <w:szCs w:val="18"/>
        </w:rPr>
        <w:instrText xml:space="preserve"> ADDIN EN.CITE &lt;EndNote&gt;&lt;Cite&gt;&lt;Author&gt;Sener&lt;/Author&gt;&lt;Year&gt;2011&lt;/Year&gt;&lt;RecNum&gt;215&lt;/RecNum&gt;&lt;DisplayText&gt;[26]&lt;/DisplayText&gt;&lt;record&gt;&lt;rec-number&gt;215&lt;/rec-number&gt;&lt;foreign-keys&gt;&lt;key app="EN" db-id="dt9ps9xv2zz20jevwt35vpfbpxxd2edfa0za"&gt;215&lt;/key&gt;&lt;/foreign-keys&gt;&lt;ref-type name="Web Page"&gt;12&lt;/ref-type&gt;&lt;contributors&gt;&lt;authors&gt;&lt;author&gt;Sener&lt;/author&gt;&lt;/authors&gt;&lt;/contributors&gt;&lt;titles&gt;&lt;title&gt;Sistema de Información Estadística&lt;/title&gt;&lt;/titles&gt;&lt;volume&gt;2011&lt;/volume&gt;&lt;number&gt;15 de marzo&lt;/number&gt;&lt;dates&gt;&lt;year&gt;2011&lt;/year&gt;&lt;/dates&gt;&lt;urls&gt;&lt;related-urls&gt;&lt;url&gt;http://sie.energia.gob.mx/sie/bdiController?action=login&lt;/url&gt;&lt;/related-urls&gt;&lt;/urls&gt;&lt;/record&gt;&lt;/Cite&gt;&lt;/EndNote&gt;</w:instrText>
      </w:r>
      <w:r w:rsidRPr="008B43F6">
        <w:rPr>
          <w:rFonts w:cs="Tahoma"/>
          <w:sz w:val="18"/>
          <w:szCs w:val="18"/>
        </w:rPr>
        <w:fldChar w:fldCharType="separate"/>
      </w:r>
      <w:r w:rsidRPr="008B43F6">
        <w:rPr>
          <w:rFonts w:cs="Tahoma"/>
          <w:noProof/>
          <w:sz w:val="18"/>
          <w:szCs w:val="18"/>
        </w:rPr>
        <w:t>[</w:t>
      </w:r>
      <w:hyperlink w:anchor="_ENREF_26" w:tooltip="Sener, 2011 #215" w:history="1">
        <w:r w:rsidR="00251C87" w:rsidRPr="008B43F6">
          <w:rPr>
            <w:rFonts w:cs="Tahoma"/>
            <w:noProof/>
            <w:sz w:val="18"/>
            <w:szCs w:val="18"/>
          </w:rPr>
          <w:t>26</w:t>
        </w:r>
      </w:hyperlink>
      <w:r w:rsidRPr="008B43F6">
        <w:rPr>
          <w:rFonts w:cs="Tahoma"/>
          <w:noProof/>
          <w:sz w:val="18"/>
          <w:szCs w:val="18"/>
        </w:rPr>
        <w:t>]</w:t>
      </w:r>
      <w:r w:rsidRPr="008B43F6">
        <w:rPr>
          <w:rFonts w:cs="Tahoma"/>
          <w:sz w:val="18"/>
          <w:szCs w:val="18"/>
        </w:rPr>
        <w:fldChar w:fldCharType="end"/>
      </w:r>
    </w:p>
    <w:p w:rsidR="00A42856" w:rsidRPr="008B43F6" w:rsidRDefault="00A42856" w:rsidP="00C12621">
      <w:pPr>
        <w:jc w:val="both"/>
        <w:rPr>
          <w:rFonts w:cs="Tahoma"/>
          <w:b/>
          <w:sz w:val="20"/>
          <w:szCs w:val="20"/>
        </w:rPr>
      </w:pPr>
    </w:p>
    <w:p w:rsidR="00A42856" w:rsidRPr="008B43F6" w:rsidRDefault="00A42856" w:rsidP="00C12621">
      <w:pPr>
        <w:jc w:val="both"/>
      </w:pPr>
      <w:r w:rsidRPr="008B43F6">
        <w:t>El sector doméstico de México consumió en 2010 286 PJ de Gas Licuado de Petróleo (GLP), 259 PJ de leña, 178 PJ de energía eléctrica, 32 PJ de gas natural. La energía solar y los kerosenos son los de menos utilización en el sector y juntos llegan a 4 PJ (</w:t>
      </w:r>
      <w:r w:rsidR="00176AC8" w:rsidRPr="008B43F6">
        <w:t>Figura</w:t>
      </w:r>
      <w:r w:rsidRPr="008B43F6">
        <w:t xml:space="preserve"> 4.10).</w:t>
      </w:r>
    </w:p>
    <w:p w:rsidR="00A42856" w:rsidRPr="008B43F6" w:rsidRDefault="00176AC8" w:rsidP="00C12621">
      <w:pPr>
        <w:spacing w:after="0"/>
        <w:jc w:val="both"/>
        <w:rPr>
          <w:color w:val="000000" w:themeColor="text1"/>
          <w:sz w:val="18"/>
          <w:szCs w:val="18"/>
        </w:rPr>
      </w:pPr>
      <w:r w:rsidRPr="008B43F6">
        <w:rPr>
          <w:b/>
          <w:color w:val="000000" w:themeColor="text1"/>
          <w:sz w:val="18"/>
          <w:szCs w:val="18"/>
        </w:rPr>
        <w:t>Figura</w:t>
      </w:r>
      <w:r w:rsidR="00A42856" w:rsidRPr="008B43F6">
        <w:rPr>
          <w:b/>
          <w:color w:val="000000" w:themeColor="text1"/>
          <w:sz w:val="18"/>
          <w:szCs w:val="18"/>
        </w:rPr>
        <w:t xml:space="preserve"> 4.10</w:t>
      </w:r>
      <w:r w:rsidR="00A42856" w:rsidRPr="008B43F6">
        <w:rPr>
          <w:color w:val="000000" w:themeColor="text1"/>
          <w:sz w:val="18"/>
          <w:szCs w:val="18"/>
        </w:rPr>
        <w:t xml:space="preserve"> Principales combustibles usados en el sector doméstico en México, 2010</w:t>
      </w:r>
    </w:p>
    <w:p w:rsidR="00A42856" w:rsidRPr="008B43F6" w:rsidRDefault="00A42856" w:rsidP="00C12621">
      <w:pPr>
        <w:spacing w:after="0"/>
        <w:jc w:val="both"/>
        <w:rPr>
          <w:color w:val="000000" w:themeColor="text1"/>
          <w:sz w:val="18"/>
          <w:szCs w:val="18"/>
        </w:rPr>
      </w:pPr>
      <w:r w:rsidRPr="008B43F6">
        <w:rPr>
          <w:noProof/>
          <w:color w:val="000000" w:themeColor="text1"/>
          <w:sz w:val="18"/>
          <w:szCs w:val="18"/>
          <w:lang w:eastAsia="es-MX"/>
        </w:rPr>
        <w:drawing>
          <wp:inline distT="0" distB="0" distL="0" distR="0" wp14:anchorId="6F8254D0" wp14:editId="75FC9829">
            <wp:extent cx="3929678" cy="21600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29678" cy="2160000"/>
                    </a:xfrm>
                    <a:prstGeom prst="rect">
                      <a:avLst/>
                    </a:prstGeom>
                    <a:noFill/>
                    <a:ln>
                      <a:noFill/>
                    </a:ln>
                  </pic:spPr>
                </pic:pic>
              </a:graphicData>
            </a:graphic>
          </wp:inline>
        </w:drawing>
      </w:r>
    </w:p>
    <w:p w:rsidR="00A42856" w:rsidRPr="008B43F6" w:rsidRDefault="00A42856" w:rsidP="00C12621">
      <w:pPr>
        <w:jc w:val="both"/>
        <w:rPr>
          <w:color w:val="000000" w:themeColor="text1"/>
          <w:sz w:val="18"/>
          <w:szCs w:val="18"/>
        </w:rPr>
      </w:pPr>
      <w:r w:rsidRPr="008B43F6">
        <w:rPr>
          <w:b/>
          <w:color w:val="000000" w:themeColor="text1"/>
          <w:sz w:val="18"/>
          <w:szCs w:val="18"/>
        </w:rPr>
        <w:t>Fuente:</w:t>
      </w:r>
      <w:r w:rsidRPr="008B43F6">
        <w:rPr>
          <w:color w:val="000000" w:themeColor="text1"/>
          <w:sz w:val="18"/>
          <w:szCs w:val="18"/>
        </w:rPr>
        <w:t xml:space="preserve"> Elaboración propias con datos del Sistema de Información Energética de la SENER.</w:t>
      </w:r>
    </w:p>
    <w:p w:rsidR="00A42856" w:rsidRPr="008B43F6" w:rsidRDefault="00A42856" w:rsidP="00C12621">
      <w:pPr>
        <w:jc w:val="both"/>
      </w:pPr>
      <w:r w:rsidRPr="008B43F6">
        <w:t>Por su parte, el consumo de electricidad ha mantenido su tendencia al crecimiento y ha crecido cerca de ocho veces en cerca de treinta años. De esta evolución resalta el crecimiento del consumo en zonas del clima cálido mientras que el que ocurre en zonas de clima templado no ha superado el nivel q</w:t>
      </w:r>
      <w:r w:rsidR="008C045A" w:rsidRPr="008B43F6">
        <w:t>ue tenía en el año 2001 (</w:t>
      </w:r>
      <w:r w:rsidR="00176AC8" w:rsidRPr="008B43F6">
        <w:t>Figura</w:t>
      </w:r>
      <w:r w:rsidR="008C045A" w:rsidRPr="008B43F6">
        <w:t xml:space="preserve"> 4.11</w:t>
      </w:r>
      <w:r w:rsidRPr="008B43F6">
        <w:t xml:space="preserve">). </w:t>
      </w:r>
    </w:p>
    <w:p w:rsidR="00A42856" w:rsidRPr="008B43F6" w:rsidRDefault="00A42856" w:rsidP="00C12621">
      <w:pPr>
        <w:jc w:val="both"/>
        <w:rPr>
          <w:rFonts w:cs="Tahoma"/>
          <w:b/>
          <w:sz w:val="20"/>
          <w:szCs w:val="20"/>
        </w:rPr>
      </w:pPr>
    </w:p>
    <w:p w:rsidR="00A42856" w:rsidRPr="008B43F6" w:rsidRDefault="00A42856" w:rsidP="00C12621">
      <w:pPr>
        <w:pStyle w:val="Epgrafe"/>
        <w:spacing w:line="276" w:lineRule="auto"/>
        <w:jc w:val="both"/>
        <w:rPr>
          <w:rFonts w:asciiTheme="minorHAnsi" w:hAnsiTheme="minorHAnsi" w:cs="Tahoma"/>
          <w:b w:val="0"/>
          <w:bCs w:val="0"/>
          <w:sz w:val="18"/>
          <w:szCs w:val="18"/>
          <w:lang w:val="es-MX"/>
        </w:rPr>
      </w:pPr>
      <w:r w:rsidRPr="008B43F6">
        <w:rPr>
          <w:rFonts w:asciiTheme="minorHAnsi" w:hAnsiTheme="minorHAnsi" w:cs="Tahoma"/>
          <w:bCs w:val="0"/>
          <w:lang w:val="es-MX"/>
        </w:rPr>
        <w:br w:type="page"/>
      </w:r>
      <w:r w:rsidR="00176AC8" w:rsidRPr="008B43F6">
        <w:rPr>
          <w:rFonts w:asciiTheme="minorHAnsi" w:hAnsiTheme="minorHAnsi"/>
          <w:color w:val="000000" w:themeColor="text1"/>
          <w:sz w:val="18"/>
          <w:szCs w:val="18"/>
        </w:rPr>
        <w:lastRenderedPageBreak/>
        <w:t>Figura</w:t>
      </w:r>
      <w:r w:rsidRPr="008B43F6">
        <w:rPr>
          <w:rFonts w:asciiTheme="minorHAnsi" w:hAnsiTheme="minorHAnsi"/>
          <w:color w:val="000000" w:themeColor="text1"/>
          <w:sz w:val="18"/>
          <w:szCs w:val="18"/>
        </w:rPr>
        <w:t xml:space="preserve"> 4.11</w:t>
      </w:r>
      <w:r w:rsidRPr="008B43F6">
        <w:rPr>
          <w:rFonts w:asciiTheme="minorHAnsi" w:hAnsiTheme="minorHAnsi" w:cs="Tahoma"/>
          <w:bCs w:val="0"/>
          <w:sz w:val="18"/>
          <w:szCs w:val="18"/>
          <w:lang w:val="es-MX"/>
        </w:rPr>
        <w:t xml:space="preserve">. </w:t>
      </w:r>
      <w:r w:rsidRPr="008B43F6">
        <w:rPr>
          <w:rFonts w:asciiTheme="minorHAnsi" w:hAnsiTheme="minorHAnsi" w:cs="Tahoma"/>
          <w:b w:val="0"/>
          <w:bCs w:val="0"/>
          <w:sz w:val="18"/>
          <w:szCs w:val="18"/>
          <w:lang w:val="es-MX"/>
        </w:rPr>
        <w:t>Evolución del consumo de energía eléctrica del sector residencial de Mexico</w:t>
      </w:r>
      <w:r w:rsidR="00C26C74">
        <w:rPr>
          <w:rFonts w:asciiTheme="minorHAnsi" w:hAnsiTheme="minorHAnsi" w:cs="Tahoma"/>
          <w:b w:val="0"/>
          <w:bCs w:val="0"/>
          <w:sz w:val="18"/>
          <w:szCs w:val="18"/>
          <w:lang w:val="es-MX"/>
        </w:rPr>
        <w:t xml:space="preserve"> </w:t>
      </w:r>
      <w:r w:rsidR="00C26C74" w:rsidRPr="008B43F6">
        <w:rPr>
          <w:rFonts w:asciiTheme="minorHAnsi" w:hAnsiTheme="minorHAnsi" w:cs="Tahoma"/>
          <w:b w:val="0"/>
          <w:bCs w:val="0"/>
          <w:sz w:val="18"/>
          <w:szCs w:val="18"/>
          <w:lang w:val="es-MX"/>
        </w:rPr>
        <w:t>(1982 a 2010)</w:t>
      </w:r>
      <w:r w:rsidR="00C26C74">
        <w:rPr>
          <w:rFonts w:asciiTheme="minorHAnsi" w:hAnsiTheme="minorHAnsi" w:cs="Tahoma"/>
          <w:b w:val="0"/>
          <w:bCs w:val="0"/>
          <w:sz w:val="18"/>
          <w:szCs w:val="18"/>
          <w:lang w:val="es-MX"/>
        </w:rPr>
        <w:t xml:space="preserve"> </w:t>
      </w:r>
      <w:r w:rsidRPr="008B43F6">
        <w:rPr>
          <w:rStyle w:val="Refdenotaalpie"/>
          <w:rFonts w:asciiTheme="minorHAnsi" w:hAnsiTheme="minorHAnsi" w:cs="Tahoma"/>
          <w:b w:val="0"/>
          <w:bCs w:val="0"/>
          <w:sz w:val="18"/>
          <w:szCs w:val="18"/>
          <w:lang w:val="es-MX"/>
        </w:rPr>
        <w:footnoteReference w:id="5"/>
      </w:r>
    </w:p>
    <w:p w:rsidR="00A42856" w:rsidRPr="008B43F6" w:rsidRDefault="00C26C74" w:rsidP="00C12621">
      <w:pPr>
        <w:jc w:val="both"/>
        <w:rPr>
          <w:rFonts w:cs="Tahoma"/>
          <w:sz w:val="18"/>
          <w:szCs w:val="18"/>
        </w:rPr>
      </w:pPr>
      <w:r w:rsidRPr="00C26C74">
        <w:rPr>
          <w:noProof/>
          <w:lang w:eastAsia="es-MX"/>
        </w:rPr>
        <w:drawing>
          <wp:inline distT="0" distB="0" distL="0" distR="0" wp14:anchorId="76664C9C" wp14:editId="4D95F648">
            <wp:extent cx="4493851" cy="25200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93851" cy="2520000"/>
                    </a:xfrm>
                    <a:prstGeom prst="rect">
                      <a:avLst/>
                    </a:prstGeom>
                    <a:noFill/>
                    <a:ln>
                      <a:noFill/>
                    </a:ln>
                  </pic:spPr>
                </pic:pic>
              </a:graphicData>
            </a:graphic>
          </wp:inline>
        </w:drawing>
      </w:r>
    </w:p>
    <w:p w:rsidR="00A42856" w:rsidRPr="008B43F6" w:rsidRDefault="00A42856" w:rsidP="00C12621">
      <w:pPr>
        <w:jc w:val="both"/>
        <w:rPr>
          <w:rFonts w:cs="Tahoma"/>
          <w:sz w:val="18"/>
          <w:szCs w:val="18"/>
        </w:rPr>
      </w:pPr>
      <w:r w:rsidRPr="00C26C74">
        <w:rPr>
          <w:rFonts w:cs="Tahoma"/>
          <w:b/>
          <w:sz w:val="18"/>
          <w:szCs w:val="18"/>
        </w:rPr>
        <w:t>Fuente:</w:t>
      </w:r>
      <w:r w:rsidRPr="008B43F6">
        <w:rPr>
          <w:rFonts w:cs="Tahoma"/>
          <w:sz w:val="18"/>
          <w:szCs w:val="18"/>
        </w:rPr>
        <w:t xml:space="preserve"> CFE </w:t>
      </w:r>
      <w:r w:rsidRPr="008B43F6">
        <w:rPr>
          <w:rFonts w:cs="Tahoma"/>
          <w:sz w:val="18"/>
          <w:szCs w:val="18"/>
        </w:rPr>
        <w:fldChar w:fldCharType="begin"/>
      </w:r>
      <w:r w:rsidRPr="008B43F6">
        <w:rPr>
          <w:rFonts w:cs="Tahoma"/>
          <w:sz w:val="18"/>
          <w:szCs w:val="18"/>
        </w:rPr>
        <w:instrText xml:space="preserve"> ADDIN EN.CITE &lt;EndNote&gt;&lt;Cite&gt;&lt;Author&gt;CFE&lt;/Author&gt;&lt;Year&gt;2012&lt;/Year&gt;&lt;RecNum&gt;265&lt;/RecNum&gt;&lt;DisplayText&gt;[27]&lt;/DisplayText&gt;&lt;record&gt;&lt;rec-number&gt;265&lt;/rec-number&gt;&lt;foreign-keys&gt;&lt;key app="EN" db-id="dt9ps9xv2zz20jevwt35vpfbpxxd2edfa0za"&gt;265&lt;/key&gt;&lt;/foreign-keys&gt;&lt;ref-type name="Web Page"&gt;12&lt;/ref-type&gt;&lt;contributors&gt;&lt;authors&gt;&lt;author&gt;CFE&lt;/author&gt;&lt;/authors&gt;&lt;/contributors&gt;&lt;titles&gt;&lt;title&gt;Estadísticas de Ventas&lt;/title&gt;&lt;/titles&gt;&lt;volume&gt;2008&lt;/volume&gt;&lt;number&gt;19 de Junio de 2012&lt;/number&gt;&lt;dates&gt;&lt;year&gt;2012&lt;/year&gt;&lt;/dates&gt;&lt;pub-location&gt;Mexico DF&lt;/pub-location&gt;&lt;publisher&gt;Comisión Federal de Electricidad&lt;/publisher&gt;&lt;urls&gt;&lt;related-urls&gt;&lt;url&gt;http://app.cfe.gob.mx/Aplicaciones/QCFE/EstVtas/Historico.aspx&lt;/url&gt;&lt;/related-urls&gt;&lt;/urls&gt;&lt;/record&gt;&lt;/Cite&gt;&lt;/EndNote&gt;</w:instrText>
      </w:r>
      <w:r w:rsidRPr="008B43F6">
        <w:rPr>
          <w:rFonts w:cs="Tahoma"/>
          <w:sz w:val="18"/>
          <w:szCs w:val="18"/>
        </w:rPr>
        <w:fldChar w:fldCharType="separate"/>
      </w:r>
      <w:r w:rsidRPr="008B43F6">
        <w:rPr>
          <w:rFonts w:cs="Tahoma"/>
          <w:noProof/>
          <w:sz w:val="18"/>
          <w:szCs w:val="18"/>
        </w:rPr>
        <w:t>[</w:t>
      </w:r>
      <w:hyperlink w:anchor="_ENREF_27" w:tooltip="CFE, 2012 #265" w:history="1">
        <w:r w:rsidR="00251C87" w:rsidRPr="008B43F6">
          <w:rPr>
            <w:rFonts w:cs="Tahoma"/>
            <w:noProof/>
            <w:sz w:val="18"/>
            <w:szCs w:val="18"/>
          </w:rPr>
          <w:t>27</w:t>
        </w:r>
      </w:hyperlink>
      <w:r w:rsidRPr="008B43F6">
        <w:rPr>
          <w:rFonts w:cs="Tahoma"/>
          <w:noProof/>
          <w:sz w:val="18"/>
          <w:szCs w:val="18"/>
        </w:rPr>
        <w:t>]</w:t>
      </w:r>
      <w:r w:rsidRPr="008B43F6">
        <w:rPr>
          <w:rFonts w:cs="Tahoma"/>
          <w:sz w:val="18"/>
          <w:szCs w:val="18"/>
        </w:rPr>
        <w:fldChar w:fldCharType="end"/>
      </w:r>
    </w:p>
    <w:p w:rsidR="00A42856" w:rsidRPr="008B43F6" w:rsidRDefault="00A42856" w:rsidP="00C12621">
      <w:pPr>
        <w:jc w:val="both"/>
        <w:rPr>
          <w:rFonts w:cs="Tahoma"/>
          <w:sz w:val="20"/>
          <w:szCs w:val="20"/>
        </w:rPr>
      </w:pPr>
    </w:p>
    <w:p w:rsidR="00A42856" w:rsidRPr="008B43F6" w:rsidRDefault="00A42856" w:rsidP="00C12621">
      <w:pPr>
        <w:jc w:val="both"/>
      </w:pPr>
      <w:r w:rsidRPr="008B43F6">
        <w:t>Actualmente la mayoría de las viviendas se ubican en zonas de clima templado pero ya cerca del 60% del consumo de electricidad del sector residencial se ubica en zonas de clima cálido (Tabla</w:t>
      </w:r>
      <w:r w:rsidR="0026104C" w:rsidRPr="008B43F6">
        <w:t xml:space="preserve"> 4.12</w:t>
      </w:r>
      <w:r w:rsidRPr="008B43F6">
        <w:t xml:space="preserve">). </w:t>
      </w:r>
    </w:p>
    <w:p w:rsidR="00A42856" w:rsidRPr="008B43F6" w:rsidRDefault="00A42856" w:rsidP="00C12621">
      <w:pPr>
        <w:pStyle w:val="Epgrafe"/>
        <w:spacing w:line="276" w:lineRule="auto"/>
        <w:jc w:val="both"/>
        <w:rPr>
          <w:rFonts w:asciiTheme="minorHAnsi" w:hAnsiTheme="minorHAnsi" w:cs="Tahoma"/>
          <w:b w:val="0"/>
          <w:sz w:val="18"/>
          <w:szCs w:val="18"/>
          <w:lang w:val="es-MX"/>
        </w:rPr>
      </w:pPr>
    </w:p>
    <w:p w:rsidR="00A42856" w:rsidRPr="008B43F6" w:rsidRDefault="00A42856" w:rsidP="00C12621">
      <w:pPr>
        <w:pStyle w:val="Epgrafe"/>
        <w:spacing w:line="276" w:lineRule="auto"/>
        <w:jc w:val="both"/>
        <w:rPr>
          <w:rFonts w:asciiTheme="minorHAnsi" w:hAnsiTheme="minorHAnsi" w:cs="Tahoma"/>
          <w:b w:val="0"/>
          <w:bCs w:val="0"/>
          <w:sz w:val="18"/>
          <w:szCs w:val="18"/>
          <w:lang w:val="es-MX"/>
        </w:rPr>
      </w:pPr>
      <w:r w:rsidRPr="008B43F6">
        <w:rPr>
          <w:rFonts w:asciiTheme="minorHAnsi" w:hAnsiTheme="minorHAnsi" w:cs="Tahoma"/>
          <w:bCs w:val="0"/>
          <w:sz w:val="18"/>
          <w:szCs w:val="18"/>
          <w:lang w:val="es-MX"/>
        </w:rPr>
        <w:t xml:space="preserve">Tabla </w:t>
      </w:r>
      <w:r w:rsidR="0026104C" w:rsidRPr="008B43F6">
        <w:rPr>
          <w:rFonts w:asciiTheme="minorHAnsi" w:hAnsiTheme="minorHAnsi" w:cs="Tahoma"/>
          <w:bCs w:val="0"/>
          <w:sz w:val="18"/>
          <w:szCs w:val="18"/>
          <w:lang w:val="es-MX"/>
        </w:rPr>
        <w:t>4.12</w:t>
      </w:r>
      <w:r w:rsidRPr="008B43F6">
        <w:rPr>
          <w:rFonts w:asciiTheme="minorHAnsi" w:hAnsiTheme="minorHAnsi" w:cs="Tahoma"/>
          <w:bCs w:val="0"/>
          <w:sz w:val="18"/>
          <w:szCs w:val="18"/>
          <w:lang w:val="es-MX"/>
        </w:rPr>
        <w:t xml:space="preserve"> </w:t>
      </w:r>
      <w:r w:rsidRPr="008B43F6">
        <w:rPr>
          <w:rFonts w:asciiTheme="minorHAnsi" w:hAnsiTheme="minorHAnsi" w:cs="Tahoma"/>
          <w:b w:val="0"/>
          <w:bCs w:val="0"/>
          <w:sz w:val="18"/>
          <w:szCs w:val="18"/>
          <w:lang w:val="es-MX"/>
        </w:rPr>
        <w:t>Consumo de energía eléctrica en las viviendas de Mexico por zonas templadas y cálidas (2010)</w:t>
      </w:r>
    </w:p>
    <w:tbl>
      <w:tblPr>
        <w:tblW w:w="6000" w:type="dxa"/>
        <w:tblInd w:w="147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000" w:firstRow="0" w:lastRow="0" w:firstColumn="0" w:lastColumn="0" w:noHBand="0" w:noVBand="0"/>
      </w:tblPr>
      <w:tblGrid>
        <w:gridCol w:w="2120"/>
        <w:gridCol w:w="1200"/>
        <w:gridCol w:w="1200"/>
        <w:gridCol w:w="1480"/>
      </w:tblGrid>
      <w:tr w:rsidR="00A42856" w:rsidRPr="008B43F6" w:rsidTr="0026104C">
        <w:trPr>
          <w:trHeight w:val="1090"/>
        </w:trPr>
        <w:tc>
          <w:tcPr>
            <w:tcW w:w="2120" w:type="dxa"/>
            <w:shd w:val="clear" w:color="auto" w:fill="4F81BD" w:themeFill="accent1"/>
            <w:vAlign w:val="center"/>
          </w:tcPr>
          <w:p w:rsidR="00A42856" w:rsidRPr="008B43F6" w:rsidRDefault="00A42856" w:rsidP="00C12621">
            <w:pPr>
              <w:jc w:val="both"/>
              <w:rPr>
                <w:rFonts w:cs="Tahoma"/>
                <w:b/>
                <w:bCs/>
                <w:color w:val="F2F2F2" w:themeColor="background1" w:themeShade="F2"/>
                <w:sz w:val="18"/>
                <w:szCs w:val="18"/>
              </w:rPr>
            </w:pPr>
            <w:r w:rsidRPr="008B43F6">
              <w:rPr>
                <w:rFonts w:cs="Tahoma"/>
                <w:b/>
                <w:bCs/>
                <w:color w:val="F2F2F2" w:themeColor="background1" w:themeShade="F2"/>
                <w:sz w:val="18"/>
                <w:szCs w:val="18"/>
              </w:rPr>
              <w:t>TARIFA</w:t>
            </w:r>
          </w:p>
        </w:tc>
        <w:tc>
          <w:tcPr>
            <w:tcW w:w="1200" w:type="dxa"/>
            <w:shd w:val="clear" w:color="auto" w:fill="4F81BD" w:themeFill="accent1"/>
            <w:vAlign w:val="center"/>
          </w:tcPr>
          <w:p w:rsidR="00A42856" w:rsidRPr="008B43F6" w:rsidRDefault="00A42856" w:rsidP="00C12621">
            <w:pPr>
              <w:jc w:val="both"/>
              <w:rPr>
                <w:rFonts w:cs="Tahoma"/>
                <w:b/>
                <w:bCs/>
                <w:color w:val="F2F2F2" w:themeColor="background1" w:themeShade="F2"/>
                <w:sz w:val="18"/>
                <w:szCs w:val="18"/>
              </w:rPr>
            </w:pPr>
            <w:r w:rsidRPr="008B43F6">
              <w:rPr>
                <w:rFonts w:cs="Tahoma"/>
                <w:b/>
                <w:bCs/>
                <w:color w:val="F2F2F2" w:themeColor="background1" w:themeShade="F2"/>
                <w:sz w:val="18"/>
                <w:szCs w:val="18"/>
              </w:rPr>
              <w:t>No. de usuarios</w:t>
            </w:r>
          </w:p>
        </w:tc>
        <w:tc>
          <w:tcPr>
            <w:tcW w:w="1200" w:type="dxa"/>
            <w:shd w:val="clear" w:color="auto" w:fill="4F81BD" w:themeFill="accent1"/>
            <w:vAlign w:val="center"/>
          </w:tcPr>
          <w:p w:rsidR="00A42856" w:rsidRPr="008B43F6" w:rsidRDefault="00A42856" w:rsidP="00C12621">
            <w:pPr>
              <w:jc w:val="both"/>
              <w:rPr>
                <w:rFonts w:cs="Tahoma"/>
                <w:b/>
                <w:bCs/>
                <w:color w:val="F2F2F2" w:themeColor="background1" w:themeShade="F2"/>
                <w:sz w:val="18"/>
                <w:szCs w:val="18"/>
              </w:rPr>
            </w:pPr>
            <w:r w:rsidRPr="008B43F6">
              <w:rPr>
                <w:rFonts w:cs="Tahoma"/>
                <w:b/>
                <w:bCs/>
                <w:color w:val="F2F2F2" w:themeColor="background1" w:themeShade="F2"/>
                <w:sz w:val="18"/>
                <w:szCs w:val="18"/>
              </w:rPr>
              <w:t>Consumo total</w:t>
            </w:r>
          </w:p>
          <w:p w:rsidR="00A42856" w:rsidRPr="008B43F6" w:rsidRDefault="00A42856" w:rsidP="00C12621">
            <w:pPr>
              <w:jc w:val="both"/>
              <w:rPr>
                <w:rFonts w:cs="Tahoma"/>
                <w:b/>
                <w:bCs/>
                <w:color w:val="F2F2F2" w:themeColor="background1" w:themeShade="F2"/>
                <w:sz w:val="18"/>
                <w:szCs w:val="18"/>
              </w:rPr>
            </w:pPr>
            <w:r w:rsidRPr="008B43F6">
              <w:rPr>
                <w:rFonts w:cs="Tahoma"/>
                <w:b/>
                <w:bCs/>
                <w:color w:val="F2F2F2" w:themeColor="background1" w:themeShade="F2"/>
                <w:sz w:val="18"/>
                <w:szCs w:val="18"/>
              </w:rPr>
              <w:t>(GWh)</w:t>
            </w:r>
          </w:p>
        </w:tc>
        <w:tc>
          <w:tcPr>
            <w:tcW w:w="1480" w:type="dxa"/>
            <w:shd w:val="clear" w:color="auto" w:fill="4F81BD" w:themeFill="accent1"/>
            <w:vAlign w:val="center"/>
          </w:tcPr>
          <w:p w:rsidR="00A42856" w:rsidRPr="008B43F6" w:rsidRDefault="00A42856" w:rsidP="00C12621">
            <w:pPr>
              <w:jc w:val="both"/>
              <w:rPr>
                <w:rFonts w:cs="Tahoma"/>
                <w:b/>
                <w:bCs/>
                <w:color w:val="F2F2F2" w:themeColor="background1" w:themeShade="F2"/>
                <w:sz w:val="18"/>
                <w:szCs w:val="18"/>
              </w:rPr>
            </w:pPr>
            <w:r w:rsidRPr="008B43F6">
              <w:rPr>
                <w:rFonts w:cs="Tahoma"/>
                <w:b/>
                <w:bCs/>
                <w:color w:val="F2F2F2" w:themeColor="background1" w:themeShade="F2"/>
                <w:sz w:val="18"/>
                <w:szCs w:val="18"/>
              </w:rPr>
              <w:t>Consumo unitario (MWh/año)</w:t>
            </w:r>
          </w:p>
        </w:tc>
      </w:tr>
      <w:tr w:rsidR="00A42856" w:rsidRPr="008B43F6" w:rsidTr="0026104C">
        <w:trPr>
          <w:trHeight w:val="450"/>
        </w:trPr>
        <w:tc>
          <w:tcPr>
            <w:tcW w:w="2120" w:type="dxa"/>
            <w:shd w:val="clear" w:color="auto" w:fill="auto"/>
            <w:vAlign w:val="bottom"/>
          </w:tcPr>
          <w:p w:rsidR="00A42856" w:rsidRPr="008B43F6" w:rsidRDefault="00A42856" w:rsidP="00C12621">
            <w:pPr>
              <w:jc w:val="both"/>
              <w:rPr>
                <w:rFonts w:cs="Tahoma"/>
                <w:b/>
                <w:bCs/>
                <w:color w:val="000000"/>
                <w:sz w:val="18"/>
                <w:szCs w:val="18"/>
              </w:rPr>
            </w:pPr>
            <w:r w:rsidRPr="008B43F6">
              <w:rPr>
                <w:rFonts w:cs="Tahoma"/>
                <w:b/>
                <w:bCs/>
                <w:color w:val="000000"/>
                <w:sz w:val="18"/>
                <w:szCs w:val="18"/>
              </w:rPr>
              <w:t>Templado (T1)</w:t>
            </w:r>
          </w:p>
        </w:tc>
        <w:tc>
          <w:tcPr>
            <w:tcW w:w="1200" w:type="dxa"/>
            <w:shd w:val="clear" w:color="auto" w:fill="auto"/>
            <w:vAlign w:val="center"/>
          </w:tcPr>
          <w:p w:rsidR="00A42856" w:rsidRPr="008B43F6" w:rsidRDefault="00A42856" w:rsidP="00C12621">
            <w:pPr>
              <w:jc w:val="both"/>
              <w:rPr>
                <w:rFonts w:cs="Tahoma"/>
                <w:color w:val="000000"/>
                <w:sz w:val="18"/>
                <w:szCs w:val="18"/>
              </w:rPr>
            </w:pPr>
            <w:r w:rsidRPr="008B43F6">
              <w:rPr>
                <w:rFonts w:cs="Tahoma"/>
                <w:color w:val="000000"/>
                <w:sz w:val="18"/>
                <w:szCs w:val="18"/>
              </w:rPr>
              <w:t>16,706</w:t>
            </w:r>
          </w:p>
        </w:tc>
        <w:tc>
          <w:tcPr>
            <w:tcW w:w="1200" w:type="dxa"/>
            <w:shd w:val="clear" w:color="auto" w:fill="auto"/>
            <w:vAlign w:val="center"/>
          </w:tcPr>
          <w:p w:rsidR="00A42856" w:rsidRPr="008B43F6" w:rsidRDefault="00A42856" w:rsidP="00C12621">
            <w:pPr>
              <w:jc w:val="both"/>
              <w:rPr>
                <w:rFonts w:cs="Tahoma"/>
                <w:color w:val="000000"/>
                <w:sz w:val="18"/>
                <w:szCs w:val="18"/>
              </w:rPr>
            </w:pPr>
            <w:r w:rsidRPr="008B43F6">
              <w:rPr>
                <w:rFonts w:cs="Tahoma"/>
                <w:color w:val="000000"/>
                <w:sz w:val="18"/>
                <w:szCs w:val="18"/>
              </w:rPr>
              <w:t>17,978</w:t>
            </w:r>
          </w:p>
        </w:tc>
        <w:tc>
          <w:tcPr>
            <w:tcW w:w="1480" w:type="dxa"/>
            <w:shd w:val="clear" w:color="auto" w:fill="auto"/>
            <w:vAlign w:val="center"/>
          </w:tcPr>
          <w:p w:rsidR="00A42856" w:rsidRPr="008B43F6" w:rsidRDefault="00A42856" w:rsidP="00C12621">
            <w:pPr>
              <w:jc w:val="both"/>
              <w:rPr>
                <w:rFonts w:cs="Tahoma"/>
                <w:color w:val="000000"/>
                <w:sz w:val="18"/>
                <w:szCs w:val="18"/>
              </w:rPr>
            </w:pPr>
            <w:r w:rsidRPr="008B43F6">
              <w:rPr>
                <w:rFonts w:cs="Tahoma"/>
                <w:color w:val="000000"/>
                <w:sz w:val="18"/>
                <w:szCs w:val="18"/>
              </w:rPr>
              <w:t>1.08</w:t>
            </w:r>
          </w:p>
        </w:tc>
      </w:tr>
      <w:tr w:rsidR="00A42856" w:rsidRPr="008B43F6" w:rsidTr="0026104C">
        <w:trPr>
          <w:trHeight w:val="450"/>
        </w:trPr>
        <w:tc>
          <w:tcPr>
            <w:tcW w:w="2120" w:type="dxa"/>
            <w:shd w:val="clear" w:color="auto" w:fill="auto"/>
            <w:vAlign w:val="bottom"/>
          </w:tcPr>
          <w:p w:rsidR="00A42856" w:rsidRPr="008B43F6" w:rsidRDefault="00A42856" w:rsidP="00C12621">
            <w:pPr>
              <w:jc w:val="both"/>
              <w:rPr>
                <w:rFonts w:cs="Tahoma"/>
                <w:b/>
                <w:bCs/>
                <w:color w:val="000000"/>
                <w:sz w:val="18"/>
                <w:szCs w:val="18"/>
              </w:rPr>
            </w:pPr>
            <w:r w:rsidRPr="008B43F6">
              <w:rPr>
                <w:rFonts w:cs="Tahoma"/>
                <w:b/>
                <w:bCs/>
                <w:color w:val="000000"/>
                <w:sz w:val="18"/>
                <w:szCs w:val="18"/>
              </w:rPr>
              <w:t xml:space="preserve">Cálido (T1A a </w:t>
            </w:r>
            <w:smartTag w:uri="urn:schemas-microsoft-com:office:smarttags" w:element="metricconverter">
              <w:smartTagPr>
                <w:attr w:name="ProductID" w:val="1F"/>
              </w:smartTagPr>
              <w:r w:rsidRPr="008B43F6">
                <w:rPr>
                  <w:rFonts w:cs="Tahoma"/>
                  <w:b/>
                  <w:bCs/>
                  <w:color w:val="000000"/>
                  <w:sz w:val="18"/>
                  <w:szCs w:val="18"/>
                </w:rPr>
                <w:t>1F</w:t>
              </w:r>
            </w:smartTag>
            <w:r w:rsidRPr="008B43F6">
              <w:rPr>
                <w:rFonts w:cs="Tahoma"/>
                <w:b/>
                <w:bCs/>
                <w:color w:val="000000"/>
                <w:sz w:val="18"/>
                <w:szCs w:val="18"/>
              </w:rPr>
              <w:t>)</w:t>
            </w:r>
          </w:p>
        </w:tc>
        <w:tc>
          <w:tcPr>
            <w:tcW w:w="1200" w:type="dxa"/>
            <w:shd w:val="clear" w:color="auto" w:fill="auto"/>
            <w:vAlign w:val="center"/>
          </w:tcPr>
          <w:p w:rsidR="00A42856" w:rsidRPr="008B43F6" w:rsidRDefault="00A42856" w:rsidP="00C12621">
            <w:pPr>
              <w:jc w:val="both"/>
              <w:rPr>
                <w:rFonts w:cs="Tahoma"/>
                <w:color w:val="000000"/>
                <w:sz w:val="18"/>
                <w:szCs w:val="18"/>
              </w:rPr>
            </w:pPr>
            <w:r w:rsidRPr="008B43F6">
              <w:rPr>
                <w:rFonts w:cs="Tahoma"/>
                <w:color w:val="000000"/>
                <w:sz w:val="18"/>
                <w:szCs w:val="18"/>
              </w:rPr>
              <w:t>13,155</w:t>
            </w:r>
          </w:p>
        </w:tc>
        <w:tc>
          <w:tcPr>
            <w:tcW w:w="1200" w:type="dxa"/>
            <w:shd w:val="clear" w:color="auto" w:fill="auto"/>
            <w:vAlign w:val="center"/>
          </w:tcPr>
          <w:p w:rsidR="00A42856" w:rsidRPr="008B43F6" w:rsidRDefault="00A42856" w:rsidP="00C12621">
            <w:pPr>
              <w:jc w:val="both"/>
              <w:rPr>
                <w:rFonts w:cs="Tahoma"/>
                <w:color w:val="000000"/>
                <w:sz w:val="18"/>
                <w:szCs w:val="18"/>
              </w:rPr>
            </w:pPr>
            <w:r w:rsidRPr="008B43F6">
              <w:rPr>
                <w:rFonts w:cs="Tahoma"/>
                <w:color w:val="000000"/>
                <w:sz w:val="18"/>
                <w:szCs w:val="18"/>
              </w:rPr>
              <w:t>27,984</w:t>
            </w:r>
          </w:p>
        </w:tc>
        <w:tc>
          <w:tcPr>
            <w:tcW w:w="1480" w:type="dxa"/>
            <w:shd w:val="clear" w:color="auto" w:fill="auto"/>
            <w:vAlign w:val="center"/>
          </w:tcPr>
          <w:p w:rsidR="00A42856" w:rsidRPr="008B43F6" w:rsidRDefault="00A42856" w:rsidP="00C12621">
            <w:pPr>
              <w:jc w:val="both"/>
              <w:rPr>
                <w:rFonts w:cs="Tahoma"/>
                <w:color w:val="000000"/>
                <w:sz w:val="18"/>
                <w:szCs w:val="18"/>
              </w:rPr>
            </w:pPr>
            <w:r w:rsidRPr="008B43F6">
              <w:rPr>
                <w:rFonts w:cs="Tahoma"/>
                <w:color w:val="000000"/>
                <w:sz w:val="18"/>
                <w:szCs w:val="18"/>
              </w:rPr>
              <w:t>2.13</w:t>
            </w:r>
          </w:p>
        </w:tc>
      </w:tr>
      <w:tr w:rsidR="00A42856" w:rsidRPr="008B43F6" w:rsidTr="0026104C">
        <w:trPr>
          <w:trHeight w:val="450"/>
        </w:trPr>
        <w:tc>
          <w:tcPr>
            <w:tcW w:w="2120" w:type="dxa"/>
            <w:shd w:val="clear" w:color="auto" w:fill="auto"/>
            <w:vAlign w:val="bottom"/>
          </w:tcPr>
          <w:p w:rsidR="00A42856" w:rsidRPr="008B43F6" w:rsidRDefault="00A42856" w:rsidP="00C12621">
            <w:pPr>
              <w:jc w:val="both"/>
              <w:rPr>
                <w:rFonts w:cs="Tahoma"/>
                <w:b/>
                <w:bCs/>
                <w:color w:val="000000"/>
                <w:sz w:val="18"/>
                <w:szCs w:val="18"/>
              </w:rPr>
            </w:pPr>
            <w:r w:rsidRPr="008B43F6">
              <w:rPr>
                <w:rFonts w:cs="Tahoma"/>
                <w:b/>
                <w:bCs/>
                <w:color w:val="000000"/>
                <w:sz w:val="18"/>
                <w:szCs w:val="18"/>
              </w:rPr>
              <w:t>Doméstico de Alto Consumo</w:t>
            </w:r>
          </w:p>
        </w:tc>
        <w:tc>
          <w:tcPr>
            <w:tcW w:w="1200" w:type="dxa"/>
            <w:shd w:val="clear" w:color="auto" w:fill="auto"/>
            <w:vAlign w:val="center"/>
          </w:tcPr>
          <w:p w:rsidR="00A42856" w:rsidRPr="008B43F6" w:rsidRDefault="00A42856" w:rsidP="00C12621">
            <w:pPr>
              <w:jc w:val="both"/>
              <w:rPr>
                <w:rFonts w:cs="Tahoma"/>
                <w:color w:val="000000"/>
                <w:sz w:val="18"/>
                <w:szCs w:val="18"/>
              </w:rPr>
            </w:pPr>
            <w:r w:rsidRPr="008B43F6">
              <w:rPr>
                <w:rFonts w:cs="Tahoma"/>
                <w:color w:val="000000"/>
                <w:sz w:val="18"/>
                <w:szCs w:val="18"/>
              </w:rPr>
              <w:t>511</w:t>
            </w:r>
          </w:p>
        </w:tc>
        <w:tc>
          <w:tcPr>
            <w:tcW w:w="1200" w:type="dxa"/>
            <w:shd w:val="clear" w:color="auto" w:fill="auto"/>
            <w:vAlign w:val="center"/>
          </w:tcPr>
          <w:p w:rsidR="00A42856" w:rsidRPr="008B43F6" w:rsidRDefault="00A42856" w:rsidP="00C12621">
            <w:pPr>
              <w:jc w:val="both"/>
              <w:rPr>
                <w:rFonts w:cs="Tahoma"/>
                <w:color w:val="000000"/>
                <w:sz w:val="18"/>
                <w:szCs w:val="18"/>
              </w:rPr>
            </w:pPr>
            <w:r w:rsidRPr="008B43F6">
              <w:rPr>
                <w:rFonts w:cs="Tahoma"/>
                <w:color w:val="000000"/>
                <w:sz w:val="18"/>
                <w:szCs w:val="18"/>
              </w:rPr>
              <w:t>2,738</w:t>
            </w:r>
          </w:p>
        </w:tc>
        <w:tc>
          <w:tcPr>
            <w:tcW w:w="1480" w:type="dxa"/>
            <w:shd w:val="clear" w:color="auto" w:fill="auto"/>
            <w:vAlign w:val="center"/>
          </w:tcPr>
          <w:p w:rsidR="00A42856" w:rsidRPr="008B43F6" w:rsidRDefault="00A42856" w:rsidP="00C12621">
            <w:pPr>
              <w:jc w:val="both"/>
              <w:rPr>
                <w:rFonts w:cs="Tahoma"/>
                <w:color w:val="000000"/>
                <w:sz w:val="18"/>
                <w:szCs w:val="18"/>
              </w:rPr>
            </w:pPr>
            <w:r w:rsidRPr="008B43F6">
              <w:rPr>
                <w:rFonts w:cs="Tahoma"/>
                <w:color w:val="000000"/>
                <w:sz w:val="18"/>
                <w:szCs w:val="18"/>
              </w:rPr>
              <w:t>5.36</w:t>
            </w:r>
          </w:p>
        </w:tc>
      </w:tr>
      <w:tr w:rsidR="00A42856" w:rsidRPr="008B43F6" w:rsidTr="0026104C">
        <w:trPr>
          <w:trHeight w:val="255"/>
        </w:trPr>
        <w:tc>
          <w:tcPr>
            <w:tcW w:w="2120" w:type="dxa"/>
            <w:shd w:val="clear" w:color="auto" w:fill="FFFFFF" w:themeFill="background1"/>
            <w:noWrap/>
            <w:vAlign w:val="bottom"/>
          </w:tcPr>
          <w:p w:rsidR="00A42856" w:rsidRPr="008B43F6" w:rsidRDefault="00A42856" w:rsidP="00C12621">
            <w:pPr>
              <w:jc w:val="both"/>
              <w:rPr>
                <w:rFonts w:cs="Tahoma"/>
                <w:b/>
                <w:bCs/>
                <w:i/>
                <w:sz w:val="18"/>
                <w:szCs w:val="18"/>
              </w:rPr>
            </w:pPr>
            <w:r w:rsidRPr="008B43F6">
              <w:rPr>
                <w:rFonts w:cs="Tahoma"/>
                <w:b/>
                <w:bCs/>
                <w:i/>
                <w:sz w:val="18"/>
                <w:szCs w:val="18"/>
              </w:rPr>
              <w:t>TOTAL</w:t>
            </w:r>
          </w:p>
        </w:tc>
        <w:tc>
          <w:tcPr>
            <w:tcW w:w="1200" w:type="dxa"/>
            <w:shd w:val="clear" w:color="auto" w:fill="FFFFFF" w:themeFill="background1"/>
            <w:noWrap/>
            <w:vAlign w:val="center"/>
          </w:tcPr>
          <w:p w:rsidR="00A42856" w:rsidRPr="008B43F6" w:rsidRDefault="00A42856" w:rsidP="00C12621">
            <w:pPr>
              <w:jc w:val="both"/>
              <w:rPr>
                <w:rFonts w:cs="Tahoma"/>
                <w:b/>
                <w:bCs/>
                <w:i/>
                <w:iCs/>
                <w:sz w:val="18"/>
                <w:szCs w:val="18"/>
              </w:rPr>
            </w:pPr>
            <w:r w:rsidRPr="008B43F6">
              <w:rPr>
                <w:rFonts w:cs="Tahoma"/>
                <w:b/>
                <w:bCs/>
                <w:i/>
                <w:iCs/>
                <w:sz w:val="18"/>
                <w:szCs w:val="18"/>
              </w:rPr>
              <w:t>30,372</w:t>
            </w:r>
          </w:p>
        </w:tc>
        <w:tc>
          <w:tcPr>
            <w:tcW w:w="1200" w:type="dxa"/>
            <w:shd w:val="clear" w:color="auto" w:fill="FFFFFF" w:themeFill="background1"/>
            <w:noWrap/>
            <w:vAlign w:val="center"/>
          </w:tcPr>
          <w:p w:rsidR="00A42856" w:rsidRPr="008B43F6" w:rsidRDefault="00A42856" w:rsidP="00C12621">
            <w:pPr>
              <w:jc w:val="both"/>
              <w:rPr>
                <w:rFonts w:cs="Tahoma"/>
                <w:b/>
                <w:bCs/>
                <w:i/>
                <w:iCs/>
                <w:sz w:val="18"/>
                <w:szCs w:val="18"/>
              </w:rPr>
            </w:pPr>
            <w:r w:rsidRPr="008B43F6">
              <w:rPr>
                <w:rFonts w:cs="Tahoma"/>
                <w:b/>
                <w:bCs/>
                <w:i/>
                <w:iCs/>
                <w:sz w:val="18"/>
                <w:szCs w:val="18"/>
              </w:rPr>
              <w:t>48,700</w:t>
            </w:r>
          </w:p>
        </w:tc>
        <w:tc>
          <w:tcPr>
            <w:tcW w:w="1480" w:type="dxa"/>
            <w:shd w:val="clear" w:color="auto" w:fill="FFFFFF" w:themeFill="background1"/>
            <w:vAlign w:val="center"/>
          </w:tcPr>
          <w:p w:rsidR="00A42856" w:rsidRPr="008B43F6" w:rsidRDefault="00A42856" w:rsidP="00C12621">
            <w:pPr>
              <w:jc w:val="both"/>
              <w:rPr>
                <w:rFonts w:cs="Tahoma"/>
                <w:b/>
                <w:bCs/>
                <w:i/>
                <w:iCs/>
                <w:color w:val="000000"/>
                <w:sz w:val="18"/>
                <w:szCs w:val="18"/>
              </w:rPr>
            </w:pPr>
            <w:r w:rsidRPr="008B43F6">
              <w:rPr>
                <w:rFonts w:cs="Tahoma"/>
                <w:b/>
                <w:bCs/>
                <w:i/>
                <w:iCs/>
                <w:color w:val="000000"/>
                <w:sz w:val="18"/>
                <w:szCs w:val="18"/>
              </w:rPr>
              <w:t>1.60</w:t>
            </w:r>
          </w:p>
        </w:tc>
      </w:tr>
    </w:tbl>
    <w:p w:rsidR="00A42856" w:rsidRPr="008B43F6" w:rsidRDefault="00A42856" w:rsidP="00C12621">
      <w:pPr>
        <w:jc w:val="both"/>
        <w:rPr>
          <w:rFonts w:cs="Tahoma"/>
          <w:sz w:val="18"/>
          <w:szCs w:val="18"/>
        </w:rPr>
      </w:pPr>
      <w:r w:rsidRPr="008B43F6">
        <w:rPr>
          <w:rFonts w:cs="Tahoma"/>
          <w:sz w:val="18"/>
          <w:szCs w:val="18"/>
        </w:rPr>
        <w:t xml:space="preserve">Fuente: CFE </w:t>
      </w:r>
      <w:r w:rsidRPr="008B43F6">
        <w:rPr>
          <w:rFonts w:cs="Tahoma"/>
          <w:sz w:val="18"/>
          <w:szCs w:val="18"/>
        </w:rPr>
        <w:fldChar w:fldCharType="begin"/>
      </w:r>
      <w:r w:rsidRPr="008B43F6">
        <w:rPr>
          <w:rFonts w:cs="Tahoma"/>
          <w:sz w:val="18"/>
          <w:szCs w:val="18"/>
        </w:rPr>
        <w:instrText xml:space="preserve"> ADDIN EN.CITE &lt;EndNote&gt;&lt;Cite&gt;&lt;Author&gt;CFE&lt;/Author&gt;&lt;Year&gt;2012&lt;/Year&gt;&lt;RecNum&gt;265&lt;/RecNum&gt;&lt;DisplayText&gt;[27]&lt;/DisplayText&gt;&lt;record&gt;&lt;rec-number&gt;265&lt;/rec-number&gt;&lt;foreign-keys&gt;&lt;key app="EN" db-id="dt9ps9xv2zz20jevwt35vpfbpxxd2edfa0za"&gt;265&lt;/key&gt;&lt;/foreign-keys&gt;&lt;ref-type name="Web Page"&gt;12&lt;/ref-type&gt;&lt;contributors&gt;&lt;authors&gt;&lt;author&gt;CFE&lt;/author&gt;&lt;/authors&gt;&lt;/contributors&gt;&lt;titles&gt;&lt;title&gt;Estadísticas de Ventas&lt;/title&gt;&lt;/titles&gt;&lt;volume&gt;2008&lt;/volume&gt;&lt;number&gt;19 de Junio de 2012&lt;/number&gt;&lt;dates&gt;&lt;year&gt;2012&lt;/year&gt;&lt;/dates&gt;&lt;pub-location&gt;Mexico DF&lt;/pub-location&gt;&lt;publisher&gt;Comisión Federal de Electricidad&lt;/publisher&gt;&lt;urls&gt;&lt;related-urls&gt;&lt;url&gt;http://app.cfe.gob.mx/Aplicaciones/QCFE/EstVtas/Historico.aspx&lt;/url&gt;&lt;/related-urls&gt;&lt;/urls&gt;&lt;/record&gt;&lt;/Cite&gt;&lt;/EndNote&gt;</w:instrText>
      </w:r>
      <w:r w:rsidRPr="008B43F6">
        <w:rPr>
          <w:rFonts w:cs="Tahoma"/>
          <w:sz w:val="18"/>
          <w:szCs w:val="18"/>
        </w:rPr>
        <w:fldChar w:fldCharType="separate"/>
      </w:r>
      <w:r w:rsidRPr="008B43F6">
        <w:rPr>
          <w:rFonts w:cs="Tahoma"/>
          <w:noProof/>
          <w:sz w:val="18"/>
          <w:szCs w:val="18"/>
        </w:rPr>
        <w:t>[</w:t>
      </w:r>
      <w:hyperlink w:anchor="_ENREF_27" w:tooltip="CFE, 2012 #265" w:history="1">
        <w:r w:rsidR="00251C87" w:rsidRPr="008B43F6">
          <w:rPr>
            <w:rFonts w:cs="Tahoma"/>
            <w:noProof/>
            <w:sz w:val="18"/>
            <w:szCs w:val="18"/>
          </w:rPr>
          <w:t>27</w:t>
        </w:r>
      </w:hyperlink>
      <w:r w:rsidRPr="008B43F6">
        <w:rPr>
          <w:rFonts w:cs="Tahoma"/>
          <w:noProof/>
          <w:sz w:val="18"/>
          <w:szCs w:val="18"/>
        </w:rPr>
        <w:t>]</w:t>
      </w:r>
      <w:r w:rsidRPr="008B43F6">
        <w:rPr>
          <w:rFonts w:cs="Tahoma"/>
          <w:sz w:val="18"/>
          <w:szCs w:val="18"/>
        </w:rPr>
        <w:fldChar w:fldCharType="end"/>
      </w:r>
    </w:p>
    <w:p w:rsidR="00A42856" w:rsidRPr="008B43F6" w:rsidRDefault="00A42856" w:rsidP="00C12621">
      <w:pPr>
        <w:jc w:val="both"/>
        <w:rPr>
          <w:rFonts w:cs="Tahoma"/>
          <w:sz w:val="20"/>
          <w:szCs w:val="20"/>
        </w:rPr>
      </w:pPr>
    </w:p>
    <w:p w:rsidR="00A42856" w:rsidRPr="008B43F6" w:rsidRDefault="00A42856" w:rsidP="00C12621">
      <w:pPr>
        <w:jc w:val="both"/>
      </w:pPr>
      <w:r w:rsidRPr="008B43F6">
        <w:t>Sin embargo, aún y cuando crece el consumo de electricidad, el consumo promedio de energía eléctrica por hogar ha declinado muy claramente desde el año 2002  (</w:t>
      </w:r>
      <w:r w:rsidR="00176AC8" w:rsidRPr="008B43F6">
        <w:t>Figura</w:t>
      </w:r>
      <w:r w:rsidR="0026104C" w:rsidRPr="008B43F6">
        <w:t xml:space="preserve"> 4.13</w:t>
      </w:r>
      <w:r w:rsidRPr="008B43F6">
        <w:t>).</w:t>
      </w:r>
    </w:p>
    <w:p w:rsidR="00A42856" w:rsidRPr="008B43F6" w:rsidRDefault="00A42856" w:rsidP="00C12621">
      <w:pPr>
        <w:jc w:val="both"/>
        <w:rPr>
          <w:rFonts w:cs="Tahoma"/>
          <w:sz w:val="20"/>
          <w:szCs w:val="20"/>
        </w:rPr>
      </w:pPr>
    </w:p>
    <w:p w:rsidR="00A42856" w:rsidRPr="008B43F6" w:rsidRDefault="00176AC8" w:rsidP="00C12621">
      <w:pPr>
        <w:pStyle w:val="Epgrafe"/>
        <w:spacing w:line="276" w:lineRule="auto"/>
        <w:jc w:val="both"/>
        <w:rPr>
          <w:rFonts w:asciiTheme="minorHAnsi" w:hAnsiTheme="minorHAnsi" w:cs="Tahoma"/>
          <w:b w:val="0"/>
          <w:bCs w:val="0"/>
          <w:sz w:val="18"/>
          <w:szCs w:val="18"/>
          <w:lang w:val="es-MX"/>
        </w:rPr>
      </w:pPr>
      <w:r w:rsidRPr="008B43F6">
        <w:rPr>
          <w:rFonts w:asciiTheme="minorHAnsi" w:hAnsiTheme="minorHAnsi"/>
          <w:color w:val="000000" w:themeColor="text1"/>
          <w:sz w:val="18"/>
          <w:szCs w:val="18"/>
        </w:rPr>
        <w:lastRenderedPageBreak/>
        <w:t>Figura</w:t>
      </w:r>
      <w:r w:rsidR="0026104C" w:rsidRPr="008B43F6">
        <w:rPr>
          <w:rFonts w:asciiTheme="minorHAnsi" w:hAnsiTheme="minorHAnsi"/>
          <w:color w:val="000000" w:themeColor="text1"/>
          <w:sz w:val="18"/>
          <w:szCs w:val="18"/>
        </w:rPr>
        <w:t xml:space="preserve"> 4.13</w:t>
      </w:r>
      <w:r w:rsidR="0026104C" w:rsidRPr="008B43F6">
        <w:rPr>
          <w:rFonts w:asciiTheme="minorHAnsi" w:hAnsiTheme="minorHAnsi"/>
          <w:b w:val="0"/>
          <w:color w:val="000000" w:themeColor="text1"/>
          <w:sz w:val="18"/>
          <w:szCs w:val="18"/>
        </w:rPr>
        <w:t xml:space="preserve"> </w:t>
      </w:r>
      <w:r w:rsidR="00220C19" w:rsidRPr="008B43F6">
        <w:rPr>
          <w:rFonts w:asciiTheme="minorHAnsi" w:hAnsiTheme="minorHAnsi"/>
          <w:b w:val="0"/>
          <w:color w:val="000000" w:themeColor="text1"/>
          <w:sz w:val="18"/>
          <w:szCs w:val="18"/>
        </w:rPr>
        <w:t xml:space="preserve"> </w:t>
      </w:r>
      <w:r w:rsidR="00A42856" w:rsidRPr="008B43F6">
        <w:rPr>
          <w:rFonts w:asciiTheme="minorHAnsi" w:hAnsiTheme="minorHAnsi" w:cs="Tahoma"/>
          <w:b w:val="0"/>
          <w:bCs w:val="0"/>
          <w:sz w:val="18"/>
          <w:szCs w:val="18"/>
          <w:lang w:val="es-MX"/>
        </w:rPr>
        <w:t>Evolución del consumo promedio de electricidad, Sector Residencial</w:t>
      </w:r>
    </w:p>
    <w:p w:rsidR="00A42856" w:rsidRPr="008B43F6" w:rsidRDefault="00C26C74" w:rsidP="00C12621">
      <w:pPr>
        <w:ind w:firstLine="708"/>
        <w:jc w:val="both"/>
        <w:rPr>
          <w:sz w:val="18"/>
          <w:szCs w:val="18"/>
        </w:rPr>
      </w:pPr>
      <w:r w:rsidRPr="00C26C74">
        <w:rPr>
          <w:noProof/>
          <w:lang w:eastAsia="es-MX"/>
        </w:rPr>
        <w:drawing>
          <wp:inline distT="0" distB="0" distL="0" distR="0" wp14:anchorId="0D15FA82" wp14:editId="1F37F23E">
            <wp:extent cx="4542669" cy="25200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42669" cy="2520000"/>
                    </a:xfrm>
                    <a:prstGeom prst="rect">
                      <a:avLst/>
                    </a:prstGeom>
                    <a:noFill/>
                    <a:ln>
                      <a:noFill/>
                    </a:ln>
                  </pic:spPr>
                </pic:pic>
              </a:graphicData>
            </a:graphic>
          </wp:inline>
        </w:drawing>
      </w:r>
    </w:p>
    <w:p w:rsidR="00A42856" w:rsidRPr="008B43F6" w:rsidRDefault="00A42856" w:rsidP="00C12621">
      <w:pPr>
        <w:jc w:val="both"/>
        <w:rPr>
          <w:rFonts w:cs="Tahoma"/>
          <w:sz w:val="18"/>
          <w:szCs w:val="18"/>
        </w:rPr>
      </w:pPr>
      <w:r w:rsidRPr="008B43F6">
        <w:rPr>
          <w:rFonts w:cs="Tahoma"/>
          <w:b/>
          <w:sz w:val="18"/>
          <w:szCs w:val="18"/>
        </w:rPr>
        <w:t>Fuente:</w:t>
      </w:r>
      <w:r w:rsidRPr="008B43F6">
        <w:rPr>
          <w:rFonts w:cs="Tahoma"/>
          <w:sz w:val="18"/>
          <w:szCs w:val="18"/>
        </w:rPr>
        <w:t xml:space="preserve"> Elaboración propia a partir de Estadísticas de Ventas de CFE </w:t>
      </w:r>
      <w:r w:rsidRPr="008B43F6">
        <w:rPr>
          <w:rFonts w:cs="Tahoma"/>
          <w:sz w:val="18"/>
          <w:szCs w:val="18"/>
        </w:rPr>
        <w:fldChar w:fldCharType="begin"/>
      </w:r>
      <w:r w:rsidRPr="008B43F6">
        <w:rPr>
          <w:rFonts w:cs="Tahoma"/>
          <w:sz w:val="18"/>
          <w:szCs w:val="18"/>
        </w:rPr>
        <w:instrText xml:space="preserve"> ADDIN EN.CITE &lt;EndNote&gt;&lt;Cite&gt;&lt;Author&gt;CFE&lt;/Author&gt;&lt;Year&gt;2012&lt;/Year&gt;&lt;RecNum&gt;265&lt;/RecNum&gt;&lt;DisplayText&gt;[27]&lt;/DisplayText&gt;&lt;record&gt;&lt;rec-number&gt;265&lt;/rec-number&gt;&lt;foreign-keys&gt;&lt;key app="EN" db-id="dt9ps9xv2zz20jevwt35vpfbpxxd2edfa0za"&gt;265&lt;/key&gt;&lt;/foreign-keys&gt;&lt;ref-type name="Web Page"&gt;12&lt;/ref-type&gt;&lt;contributors&gt;&lt;authors&gt;&lt;author&gt;CFE&lt;/author&gt;&lt;/authors&gt;&lt;/contributors&gt;&lt;titles&gt;&lt;title&gt;Estadísticas de Ventas&lt;/title&gt;&lt;/titles&gt;&lt;volume&gt;2008&lt;/volume&gt;&lt;number&gt;19 de Junio de 2012&lt;/number&gt;&lt;dates&gt;&lt;year&gt;2012&lt;/year&gt;&lt;/dates&gt;&lt;pub-location&gt;Mexico DF&lt;/pub-location&gt;&lt;publisher&gt;Comisión Federal de Electricidad&lt;/publisher&gt;&lt;urls&gt;&lt;related-urls&gt;&lt;url&gt;http://app.cfe.gob.mx/Aplicaciones/QCFE/EstVtas/Historico.aspx&lt;/url&gt;&lt;/related-urls&gt;&lt;/urls&gt;&lt;/record&gt;&lt;/Cite&gt;&lt;/EndNote&gt;</w:instrText>
      </w:r>
      <w:r w:rsidRPr="008B43F6">
        <w:rPr>
          <w:rFonts w:cs="Tahoma"/>
          <w:sz w:val="18"/>
          <w:szCs w:val="18"/>
        </w:rPr>
        <w:fldChar w:fldCharType="separate"/>
      </w:r>
      <w:r w:rsidRPr="008B43F6">
        <w:rPr>
          <w:rFonts w:cs="Tahoma"/>
          <w:noProof/>
          <w:sz w:val="18"/>
          <w:szCs w:val="18"/>
        </w:rPr>
        <w:t>[</w:t>
      </w:r>
      <w:hyperlink w:anchor="_ENREF_27" w:tooltip="CFE, 2012 #265" w:history="1">
        <w:r w:rsidR="00251C87" w:rsidRPr="008B43F6">
          <w:rPr>
            <w:rFonts w:cs="Tahoma"/>
            <w:noProof/>
            <w:sz w:val="18"/>
            <w:szCs w:val="18"/>
          </w:rPr>
          <w:t>27</w:t>
        </w:r>
      </w:hyperlink>
      <w:r w:rsidRPr="008B43F6">
        <w:rPr>
          <w:rFonts w:cs="Tahoma"/>
          <w:noProof/>
          <w:sz w:val="18"/>
          <w:szCs w:val="18"/>
        </w:rPr>
        <w:t>]</w:t>
      </w:r>
      <w:r w:rsidRPr="008B43F6">
        <w:rPr>
          <w:rFonts w:cs="Tahoma"/>
          <w:sz w:val="18"/>
          <w:szCs w:val="18"/>
        </w:rPr>
        <w:fldChar w:fldCharType="end"/>
      </w:r>
    </w:p>
    <w:p w:rsidR="00A42856" w:rsidRPr="008B43F6" w:rsidRDefault="00A42856" w:rsidP="00C12621">
      <w:pPr>
        <w:jc w:val="both"/>
        <w:rPr>
          <w:rFonts w:cs="Tahoma"/>
          <w:sz w:val="20"/>
          <w:szCs w:val="20"/>
        </w:rPr>
      </w:pPr>
    </w:p>
    <w:p w:rsidR="00A42856" w:rsidRPr="008B43F6" w:rsidRDefault="00A42856" w:rsidP="00C12621">
      <w:pPr>
        <w:jc w:val="both"/>
      </w:pPr>
      <w:r w:rsidRPr="008B43F6">
        <w:t>En una perspectiva de largo plazo, estimaciones realizadas para México y basadas en las tendencias actuales señalan un crecimiento importante de las emisiones de gases de efecto invernadero por el consumo de energía del sector residencial, particularmente como resultado del creciente uso de la climatización (enfriamiento) de los hogares y de la variedad de consumos de electricidad que resultan, principalmente, de equipos que incorporan electrónica y que están permanentemente pren</w:t>
      </w:r>
      <w:r w:rsidR="00220C19" w:rsidRPr="008B43F6">
        <w:t xml:space="preserve">didos (otros eléctrico) </w:t>
      </w:r>
      <w:r w:rsidR="00220C19" w:rsidRPr="008B43F6">
        <w:fldChar w:fldCharType="begin"/>
      </w:r>
      <w:r w:rsidR="00220C19" w:rsidRPr="008B43F6">
        <w:instrText xml:space="preserve"> ADDIN EN.CITE &lt;EndNote&gt;&lt;Cite&gt;&lt;Author&gt;de Buen O.&lt;/Author&gt;&lt;Year&gt;2009&lt;/Year&gt;&lt;RecNum&gt;32&lt;/RecNum&gt;&lt;DisplayText&gt;[28]&lt;/DisplayText&gt;&lt;record&gt;&lt;rec-number&gt;32&lt;/rec-number&gt;&lt;foreign-keys&gt;&lt;key app="EN" db-id="t0v9wvp5gtw2r4efsfnxdz01xvzddafaaa0w"&gt;32&lt;/key&gt;&lt;/foreign-keys&gt;&lt;ref-type name="Unpublished Work"&gt;34&lt;/ref-type&gt;&lt;contributors&gt;&lt;authors&gt;&lt;author&gt;de Buen O.,&lt;/author&gt;&lt;/authors&gt;&lt;/contributors&gt;&lt;titles&gt;&lt;title&gt;REGIONAL REPORT ON GREENHOUSE GAS EMISSION REDUCTION POTENTIALS FROM BUILDINGS: MEXICO&lt;/title&gt;&lt;/titles&gt;&lt;pages&gt;52&lt;/pages&gt;&lt;dates&gt;&lt;year&gt;2009&lt;/year&gt;&lt;/dates&gt;&lt;pub-location&gt;Mexico City&lt;/pub-location&gt;&lt;publisher&gt;UNEP-SBCI&lt;/publisher&gt;&lt;urls&gt;&lt;/urls&gt;&lt;/record&gt;&lt;/Cite&gt;&lt;/EndNote&gt;</w:instrText>
      </w:r>
      <w:r w:rsidR="00220C19" w:rsidRPr="008B43F6">
        <w:fldChar w:fldCharType="separate"/>
      </w:r>
      <w:r w:rsidR="00220C19" w:rsidRPr="008B43F6">
        <w:t>[</w:t>
      </w:r>
      <w:hyperlink w:anchor="_ENREF_28" w:tooltip="de Buen O., 2009 #32" w:history="1">
        <w:r w:rsidR="00251C87" w:rsidRPr="008B43F6">
          <w:t>28</w:t>
        </w:r>
      </w:hyperlink>
      <w:r w:rsidR="00220C19" w:rsidRPr="008B43F6">
        <w:t>]</w:t>
      </w:r>
      <w:r w:rsidR="00220C19" w:rsidRPr="008B43F6">
        <w:fldChar w:fldCharType="end"/>
      </w:r>
      <w:r w:rsidR="00A3212E">
        <w:t>.</w:t>
      </w:r>
    </w:p>
    <w:p w:rsidR="005F7B70" w:rsidRPr="008B43F6" w:rsidRDefault="00A97CBB" w:rsidP="00C12621">
      <w:pPr>
        <w:pStyle w:val="Ttulo3"/>
        <w:jc w:val="both"/>
        <w:rPr>
          <w:rFonts w:asciiTheme="minorHAnsi" w:hAnsiTheme="minorHAnsi"/>
        </w:rPr>
      </w:pPr>
      <w:bookmarkStart w:id="68" w:name="_Toc350874981"/>
      <w:bookmarkStart w:id="69" w:name="_Toc351397593"/>
      <w:r w:rsidRPr="008B43F6">
        <w:rPr>
          <w:rFonts w:asciiTheme="minorHAnsi" w:hAnsiTheme="minorHAnsi"/>
        </w:rPr>
        <w:t>4.2.</w:t>
      </w:r>
      <w:r w:rsidR="004E4DE8" w:rsidRPr="008B43F6">
        <w:rPr>
          <w:rFonts w:asciiTheme="minorHAnsi" w:hAnsiTheme="minorHAnsi"/>
        </w:rPr>
        <w:t>3</w:t>
      </w:r>
      <w:r w:rsidRPr="008B43F6">
        <w:rPr>
          <w:rFonts w:asciiTheme="minorHAnsi" w:hAnsiTheme="minorHAnsi"/>
        </w:rPr>
        <w:t xml:space="preserve"> </w:t>
      </w:r>
      <w:r w:rsidR="005C7E01" w:rsidRPr="008B43F6">
        <w:rPr>
          <w:rFonts w:asciiTheme="minorHAnsi" w:hAnsiTheme="minorHAnsi"/>
        </w:rPr>
        <w:t>Precios</w:t>
      </w:r>
      <w:r w:rsidR="00B14288" w:rsidRPr="008B43F6">
        <w:rPr>
          <w:rFonts w:asciiTheme="minorHAnsi" w:hAnsiTheme="minorHAnsi"/>
        </w:rPr>
        <w:t xml:space="preserve"> de los energéticos</w:t>
      </w:r>
      <w:bookmarkEnd w:id="68"/>
      <w:bookmarkEnd w:id="69"/>
    </w:p>
    <w:p w:rsidR="005F7B70" w:rsidRPr="008B43F6" w:rsidRDefault="005F7B70" w:rsidP="00C12621">
      <w:pPr>
        <w:jc w:val="both"/>
      </w:pPr>
      <w:r w:rsidRPr="008B43F6">
        <w:t xml:space="preserve">El </w:t>
      </w:r>
      <w:r w:rsidR="00B14288" w:rsidRPr="008B43F6">
        <w:t>precio considerado para establecer la facturación por hogar por electricidad</w:t>
      </w:r>
      <w:r w:rsidR="00C76D09" w:rsidRPr="008B43F6">
        <w:t xml:space="preserve"> fue</w:t>
      </w:r>
      <w:r w:rsidR="00CD4128" w:rsidRPr="008B43F6">
        <w:t xml:space="preserve"> de $1.</w:t>
      </w:r>
      <w:r w:rsidR="00B14288" w:rsidRPr="008B43F6">
        <w:t>14 pesos/kWh que corresponde al promedio en 2010 en el sector residencial, según la CFE</w:t>
      </w:r>
      <w:r w:rsidR="006B19F8" w:rsidRPr="008B43F6">
        <w:t xml:space="preserve"> </w:t>
      </w:r>
      <w:r w:rsidR="006B19F8" w:rsidRPr="008B43F6">
        <w:fldChar w:fldCharType="begin"/>
      </w:r>
      <w:r w:rsidR="003113E5" w:rsidRPr="008B43F6">
        <w:instrText xml:space="preserve"> ADDIN EN.CITE &lt;EndNote&gt;&lt;Cite&gt;&lt;Author&gt;CFE&lt;/Author&gt;&lt;RecNum&gt;87&lt;/RecNum&gt;&lt;DisplayText&gt;[20]&lt;/DisplayText&gt;&lt;record&gt;&lt;rec-number&gt;87&lt;/rec-number&gt;&lt;foreign-keys&gt;&lt;key app="EN" db-id="w0w9edzzlxxfdgesvf359ft8wzxverspwaav"&gt;87&lt;/key&gt;&lt;/foreign-keys&gt;&lt;ref-type name="Government Document"&gt;46&lt;/ref-type&gt;&lt;contributors&gt;&lt;authors&gt;&lt;author&gt;CFE&lt;/author&gt;&lt;/authors&gt;&lt;/contributors&gt;&lt;titles&gt;&lt;title&gt;Estadísticas de Venta de la CFE &lt;/title&gt;&lt;/titles&gt;&lt;dates&gt;&lt;/dates&gt;&lt;urls&gt;&lt;related-urls&gt;&lt;url&gt;http://app.cfe.gob.mx/Aplicaciones/QCFE/EstVtas/PorTarifa.aspx&lt;/url&gt;&lt;/related-urls&gt;&lt;/urls&gt;&lt;/record&gt;&lt;/Cite&gt;&lt;/EndNote&gt;</w:instrText>
      </w:r>
      <w:r w:rsidR="006B19F8" w:rsidRPr="008B43F6">
        <w:fldChar w:fldCharType="separate"/>
      </w:r>
      <w:r w:rsidR="003113E5" w:rsidRPr="008B43F6">
        <w:rPr>
          <w:noProof/>
        </w:rPr>
        <w:t>[</w:t>
      </w:r>
      <w:hyperlink w:anchor="_ENREF_20" w:tooltip="CFE,  #87" w:history="1">
        <w:r w:rsidR="00251C87" w:rsidRPr="008B43F6">
          <w:rPr>
            <w:noProof/>
          </w:rPr>
          <w:t>20</w:t>
        </w:r>
      </w:hyperlink>
      <w:r w:rsidR="003113E5" w:rsidRPr="008B43F6">
        <w:rPr>
          <w:noProof/>
        </w:rPr>
        <w:t>]</w:t>
      </w:r>
      <w:r w:rsidR="006B19F8" w:rsidRPr="008B43F6">
        <w:fldChar w:fldCharType="end"/>
      </w:r>
      <w:r w:rsidR="006B19F8" w:rsidRPr="008B43F6">
        <w:t>. Asimismo</w:t>
      </w:r>
      <w:r w:rsidR="00B14288" w:rsidRPr="008B43F6">
        <w:t>, e</w:t>
      </w:r>
      <w:r w:rsidR="00CD4128" w:rsidRPr="008B43F6">
        <w:t>l precio promedio del  kilogramo de GLP para 2010 fue de $10.91 pesos</w:t>
      </w:r>
      <w:r w:rsidR="00B14288" w:rsidRPr="008B43F6">
        <w:t>/kg</w:t>
      </w:r>
      <w:r w:rsidR="006B19F8" w:rsidRPr="008B43F6">
        <w:t xml:space="preserve"> </w:t>
      </w:r>
      <w:r w:rsidR="006B19F8" w:rsidRPr="008B43F6">
        <w:fldChar w:fldCharType="begin"/>
      </w:r>
      <w:r w:rsidR="00756D50" w:rsidRPr="008B43F6">
        <w:instrText xml:space="preserve"> ADDIN EN.CITE &lt;EndNote&gt;&lt;Cite&gt;&lt;Author&gt;SENER&lt;/Author&gt;&lt;RecNum&gt;61&lt;/RecNum&gt;&lt;DisplayText&gt;[8]&lt;/DisplayText&gt;&lt;record&gt;&lt;rec-number&gt;61&lt;/rec-number&gt;&lt;foreign-keys&gt;&lt;key app="EN" db-id="w0w9edzzlxxfdgesvf359ft8wzxverspwaav"&gt;61&lt;/key&gt;&lt;/foreign-keys&gt;&lt;ref-type name="Web Page"&gt;12&lt;/ref-type&gt;&lt;contributors&gt;&lt;authors&gt;&lt;author&gt;SENER&lt;/author&gt;&lt;/authors&gt;&lt;/contributors&gt;&lt;titles&gt;&lt;title&gt;Sistema de Información Energética&lt;/title&gt;&lt;/titles&gt;&lt;dates&gt;&lt;/dates&gt;&lt;urls&gt;&lt;related-urls&gt;&lt;url&gt;www.sie.energia.gob.mx&lt;/url&gt;&lt;/related-urls&gt;&lt;/urls&gt;&lt;/record&gt;&lt;/Cite&gt;&lt;/EndNote&gt;</w:instrText>
      </w:r>
      <w:r w:rsidR="006B19F8" w:rsidRPr="008B43F6">
        <w:fldChar w:fldCharType="separate"/>
      </w:r>
      <w:r w:rsidR="00756D50" w:rsidRPr="008B43F6">
        <w:rPr>
          <w:noProof/>
        </w:rPr>
        <w:t>[</w:t>
      </w:r>
      <w:hyperlink w:anchor="_ENREF_8" w:tooltip="SENER,  #61" w:history="1">
        <w:r w:rsidR="00251C87" w:rsidRPr="008B43F6">
          <w:rPr>
            <w:noProof/>
          </w:rPr>
          <w:t>8</w:t>
        </w:r>
      </w:hyperlink>
      <w:r w:rsidR="00756D50" w:rsidRPr="008B43F6">
        <w:rPr>
          <w:noProof/>
        </w:rPr>
        <w:t>]</w:t>
      </w:r>
      <w:r w:rsidR="006B19F8" w:rsidRPr="008B43F6">
        <w:fldChar w:fldCharType="end"/>
      </w:r>
      <w:r w:rsidR="006B19F8" w:rsidRPr="008B43F6">
        <w:t>.</w:t>
      </w:r>
    </w:p>
    <w:p w:rsidR="00B14288" w:rsidRPr="008B43F6" w:rsidRDefault="00A97CBB" w:rsidP="00C12621">
      <w:pPr>
        <w:pStyle w:val="Ttulo3"/>
        <w:jc w:val="both"/>
        <w:rPr>
          <w:rFonts w:asciiTheme="minorHAnsi" w:hAnsiTheme="minorHAnsi"/>
        </w:rPr>
      </w:pPr>
      <w:bookmarkStart w:id="70" w:name="_Toc350874982"/>
      <w:bookmarkStart w:id="71" w:name="_Toc351397594"/>
      <w:r w:rsidRPr="008B43F6">
        <w:rPr>
          <w:rFonts w:asciiTheme="minorHAnsi" w:hAnsiTheme="minorHAnsi"/>
        </w:rPr>
        <w:t>4.2.</w:t>
      </w:r>
      <w:r w:rsidR="004E4DE8" w:rsidRPr="008B43F6">
        <w:rPr>
          <w:rFonts w:asciiTheme="minorHAnsi" w:hAnsiTheme="minorHAnsi"/>
        </w:rPr>
        <w:t>4</w:t>
      </w:r>
      <w:r w:rsidRPr="008B43F6">
        <w:rPr>
          <w:rFonts w:asciiTheme="minorHAnsi" w:hAnsiTheme="minorHAnsi"/>
        </w:rPr>
        <w:t xml:space="preserve"> </w:t>
      </w:r>
      <w:r w:rsidR="00B14288" w:rsidRPr="008B43F6">
        <w:rPr>
          <w:rFonts w:asciiTheme="minorHAnsi" w:hAnsiTheme="minorHAnsi"/>
        </w:rPr>
        <w:t>Subsidios</w:t>
      </w:r>
      <w:bookmarkEnd w:id="70"/>
      <w:bookmarkEnd w:id="71"/>
    </w:p>
    <w:p w:rsidR="00B14288" w:rsidRPr="008B43F6" w:rsidRDefault="00B14288" w:rsidP="00C12621">
      <w:pPr>
        <w:autoSpaceDE w:val="0"/>
        <w:autoSpaceDN w:val="0"/>
        <w:adjustRightInd w:val="0"/>
        <w:spacing w:after="0"/>
        <w:jc w:val="both"/>
      </w:pPr>
      <w:r w:rsidRPr="008B43F6">
        <w:t>El subsidio a las tarifas eléctricas se define como la diferencia entre el precio de la electricidad pagada por los consumidores y el costo promedio de suministro. Los subsidios a los usuarios de CFE es de entre 40% y 60% de cada kWh</w:t>
      </w:r>
      <w:r w:rsidR="00B97C40" w:rsidRPr="008B43F6">
        <w:t xml:space="preserve"> </w:t>
      </w:r>
      <w:r w:rsidR="00B97C40" w:rsidRPr="008B43F6">
        <w:fldChar w:fldCharType="begin"/>
      </w:r>
      <w:r w:rsidR="00220C19" w:rsidRPr="008B43F6">
        <w:instrText xml:space="preserve"> ADDIN EN.CITE &lt;EndNote&gt;&lt;Cite&gt;&lt;Author&gt;SENER&lt;/Author&gt;&lt;Year&gt;2009&lt;/Year&gt;&lt;RecNum&gt;66&lt;/RecNum&gt;&lt;DisplayText&gt;[29]&lt;/DisplayText&gt;&lt;record&gt;&lt;rec-number&gt;66&lt;/rec-number&gt;&lt;foreign-keys&gt;&lt;key app="EN" db-id="w0w9edzzlxxfdgesvf359ft8wzxverspwaav"&gt;66&lt;/key&gt;&lt;/foreign-keys&gt;&lt;ref-type name="Government Document"&gt;46&lt;/ref-type&gt;&lt;contributors&gt;&lt;authors&gt;&lt;author&gt;SENER&lt;/author&gt;&lt;/authors&gt;&lt;/contributors&gt;&lt;titles&gt;&lt;title&gt;Prospectiva del Sector Eléctrico 2009-2024&lt;/title&gt;&lt;/titles&gt;&lt;dates&gt;&lt;year&gt;2009&lt;/year&gt;&lt;/dates&gt;&lt;urls&gt;&lt;related-urls&gt;&lt;url&gt;http://www.sener.gob.mx/res/PE_y_DT/pub/Prospectiva_electricidad%20_2009-2024.pdf&lt;/url&gt;&lt;/related-urls&gt;&lt;/urls&gt;&lt;/record&gt;&lt;/Cite&gt;&lt;/EndNote&gt;</w:instrText>
      </w:r>
      <w:r w:rsidR="00B97C40" w:rsidRPr="008B43F6">
        <w:fldChar w:fldCharType="separate"/>
      </w:r>
      <w:r w:rsidR="00220C19" w:rsidRPr="008B43F6">
        <w:rPr>
          <w:noProof/>
        </w:rPr>
        <w:t>[</w:t>
      </w:r>
      <w:hyperlink w:anchor="_ENREF_29" w:tooltip="SENER, 2009 #66" w:history="1">
        <w:r w:rsidR="00251C87" w:rsidRPr="008B43F6">
          <w:rPr>
            <w:noProof/>
          </w:rPr>
          <w:t>29</w:t>
        </w:r>
      </w:hyperlink>
      <w:r w:rsidR="00220C19" w:rsidRPr="008B43F6">
        <w:rPr>
          <w:noProof/>
        </w:rPr>
        <w:t>]</w:t>
      </w:r>
      <w:r w:rsidR="00B97C40" w:rsidRPr="008B43F6">
        <w:fldChar w:fldCharType="end"/>
      </w:r>
      <w:r w:rsidRPr="008B43F6">
        <w:t xml:space="preserve">. Para ser conservadores, se considera un subsidio del 40%. </w:t>
      </w:r>
    </w:p>
    <w:p w:rsidR="00B14288" w:rsidRPr="008B43F6" w:rsidRDefault="00B14288" w:rsidP="00C12621">
      <w:pPr>
        <w:autoSpaceDE w:val="0"/>
        <w:autoSpaceDN w:val="0"/>
        <w:adjustRightInd w:val="0"/>
        <w:spacing w:after="0"/>
        <w:jc w:val="both"/>
      </w:pPr>
    </w:p>
    <w:p w:rsidR="00B14288" w:rsidRPr="008B43F6" w:rsidRDefault="00B14288" w:rsidP="00C12621">
      <w:pPr>
        <w:shd w:val="clear" w:color="auto" w:fill="FFFFFF"/>
        <w:jc w:val="both"/>
      </w:pPr>
      <w:r w:rsidRPr="008B43F6">
        <w:t>Históricamente, los p</w:t>
      </w:r>
      <w:r w:rsidR="00D5769B" w:rsidRPr="008B43F6">
        <w:t>recios máximos de venta del G</w:t>
      </w:r>
      <w:r w:rsidRPr="008B43F6">
        <w:t xml:space="preserve">LP al usuario final son establecidos por decreto presidencial. Este precio ha estado por debajo del de referencia internacional  y en 2011 se ubica 30% abajo </w:t>
      </w:r>
      <w:r w:rsidRPr="008B43F6">
        <w:fldChar w:fldCharType="begin"/>
      </w:r>
      <w:r w:rsidR="00220C19" w:rsidRPr="008B43F6">
        <w:instrText xml:space="preserve"> ADDIN EN.CITE &lt;EndNote&gt;&lt;Cite&gt;&lt;Author&gt;SENER&lt;/Author&gt;&lt;Year&gt;2010&lt;/Year&gt;&lt;RecNum&gt;62&lt;/RecNum&gt;&lt;DisplayText&gt;[30-32]&lt;/DisplayText&gt;&lt;record&gt;&lt;rec-number&gt;62&lt;/rec-number&gt;&lt;foreign-keys&gt;&lt;key app="EN" db-id="w0w9edzzlxxfdgesvf359ft8wzxverspwaav"&gt;62&lt;/key&gt;&lt;/foreign-keys&gt;&lt;ref-type name="Government Document"&gt;46&lt;/ref-type&gt;&lt;contributors&gt;&lt;authors&gt;&lt;author&gt;SENER&lt;/author&gt;&lt;/authors&gt;&lt;/contributors&gt;&lt;titles&gt;&lt;title&gt;Prospectiva del Mercado de Gas Natural 2010-2025&lt;/title&gt;&lt;/titles&gt;&lt;dates&gt;&lt;year&gt;2010&lt;/year&gt;&lt;/dates&gt;&lt;pub-location&gt;México DF&lt;/pub-location&gt;&lt;urls&gt;&lt;/urls&gt;&lt;/record&gt;&lt;/Cite&gt;&lt;Cite&gt;&lt;Author&gt;ITP&lt;/Author&gt;&lt;Year&gt;2011&lt;/Year&gt;&lt;RecNum&gt;63&lt;/RecNum&gt;&lt;record&gt;&lt;rec-number&gt;63&lt;/rec-number&gt;&lt;foreign-keys&gt;&lt;key app="EN" db-id="w0w9edzzlxxfdgesvf359ft8wzxverspwaav"&gt;63&lt;/key&gt;&lt;/foreign-keys&gt;&lt;ref-type name="Report"&gt;27&lt;/ref-type&gt;&lt;contributors&gt;&lt;authors&gt;&lt;author&gt;ITP&lt;/author&gt;&lt;/authors&gt;&lt;/contributors&gt;&lt;titles&gt;&lt;title&gt;Estrategias y políticas en la fijación de precios&lt;/title&gt;&lt;/titles&gt;&lt;dates&gt;&lt;year&gt;2011&lt;/year&gt;&lt;/dates&gt;&lt;urls&gt;&lt;related-urls&gt;&lt;url&gt;http://sistemas.itlp.edu.mx/tutoriales/mercadotecnia2/tema3_4.htm&lt;/url&gt;&lt;/related-urls&gt;&lt;/urls&gt;&lt;/record&gt;&lt;/Cite&gt;&lt;Cite&gt;&lt;Author&gt;Brito&lt;/Author&gt;&lt;Year&gt;2000&lt;/Year&gt;&lt;RecNum&gt;64&lt;/RecNum&gt;&lt;record&gt;&lt;rec-number&gt;64&lt;/rec-number&gt;&lt;foreign-keys&gt;&lt;key app="EN" db-id="w0w9edzzlxxfdgesvf359ft8wzxverspwaav"&gt;64&lt;/key&gt;&lt;/foreign-keys&gt;&lt;ref-type name="Report"&gt;27&lt;/ref-type&gt;&lt;contributors&gt;&lt;authors&gt;&lt;author&gt;D. Brito&lt;/author&gt;&lt;author&gt;W. Littlejohn&lt;/author&gt;&lt;/authors&gt;&lt;/contributors&gt;&lt;titles&gt;&lt;title&gt;Pricing Liquid Petroleum Gas in Mexico&lt;/title&gt;&lt;/titles&gt;&lt;dates&gt;&lt;year&gt;2000&lt;/year&gt;&lt;/dates&gt;&lt;urls&gt;&lt;related-urls&gt;&lt;url&gt;http://www.entrepreneur.com/tradejournals/article/59653228.html&lt;/url&gt;&lt;/related-urls&gt;&lt;/urls&gt;&lt;/record&gt;&lt;/Cite&gt;&lt;/EndNote&gt;</w:instrText>
      </w:r>
      <w:r w:rsidRPr="008B43F6">
        <w:fldChar w:fldCharType="separate"/>
      </w:r>
      <w:r w:rsidR="00220C19" w:rsidRPr="008B43F6">
        <w:rPr>
          <w:noProof/>
        </w:rPr>
        <w:t>[</w:t>
      </w:r>
      <w:hyperlink w:anchor="_ENREF_30" w:tooltip="SENER, 2010 #62" w:history="1">
        <w:r w:rsidR="00251C87" w:rsidRPr="008B43F6">
          <w:rPr>
            <w:noProof/>
          </w:rPr>
          <w:t>30-32</w:t>
        </w:r>
      </w:hyperlink>
      <w:r w:rsidR="00220C19" w:rsidRPr="008B43F6">
        <w:rPr>
          <w:noProof/>
        </w:rPr>
        <w:t>]</w:t>
      </w:r>
      <w:r w:rsidRPr="008B43F6">
        <w:fldChar w:fldCharType="end"/>
      </w:r>
      <w:r w:rsidRPr="008B43F6">
        <w:t xml:space="preserve">. </w:t>
      </w:r>
    </w:p>
    <w:p w:rsidR="001927B4" w:rsidRPr="008B43F6" w:rsidRDefault="00A97CBB" w:rsidP="00C12621">
      <w:pPr>
        <w:pStyle w:val="Ttulo3"/>
        <w:jc w:val="both"/>
        <w:rPr>
          <w:rFonts w:asciiTheme="minorHAnsi" w:hAnsiTheme="minorHAnsi"/>
        </w:rPr>
      </w:pPr>
      <w:bookmarkStart w:id="72" w:name="_Toc350874983"/>
      <w:bookmarkStart w:id="73" w:name="_Toc351397595"/>
      <w:r w:rsidRPr="008B43F6">
        <w:rPr>
          <w:rFonts w:asciiTheme="minorHAnsi" w:hAnsiTheme="minorHAnsi"/>
        </w:rPr>
        <w:t>4.2.</w:t>
      </w:r>
      <w:r w:rsidR="004E4DE8" w:rsidRPr="008B43F6">
        <w:rPr>
          <w:rFonts w:asciiTheme="minorHAnsi" w:hAnsiTheme="minorHAnsi"/>
        </w:rPr>
        <w:t>5</w:t>
      </w:r>
      <w:r w:rsidRPr="008B43F6">
        <w:rPr>
          <w:rFonts w:asciiTheme="minorHAnsi" w:hAnsiTheme="minorHAnsi"/>
        </w:rPr>
        <w:t xml:space="preserve"> </w:t>
      </w:r>
      <w:r w:rsidR="005C7E01" w:rsidRPr="008B43F6">
        <w:rPr>
          <w:rFonts w:asciiTheme="minorHAnsi" w:hAnsiTheme="minorHAnsi"/>
        </w:rPr>
        <w:t>Tendencias</w:t>
      </w:r>
      <w:r w:rsidR="005D71FE" w:rsidRPr="008B43F6">
        <w:rPr>
          <w:rFonts w:asciiTheme="minorHAnsi" w:hAnsiTheme="minorHAnsi"/>
        </w:rPr>
        <w:t xml:space="preserve"> de crecimiento</w:t>
      </w:r>
      <w:bookmarkEnd w:id="72"/>
      <w:bookmarkEnd w:id="73"/>
    </w:p>
    <w:p w:rsidR="00CD4128" w:rsidRPr="008B43F6" w:rsidRDefault="00CD4128" w:rsidP="00C12621">
      <w:pPr>
        <w:jc w:val="both"/>
      </w:pPr>
      <w:r w:rsidRPr="008B43F6">
        <w:t>El crecimiento del consumo de energía en el sector residencial en los últimos 10 años ha sido muy moderado, en comparación con casi todos los demás sectores</w:t>
      </w:r>
      <w:r w:rsidR="003C2467" w:rsidRPr="008B43F6">
        <w:t>. L</w:t>
      </w:r>
      <w:r w:rsidRPr="008B43F6">
        <w:t xml:space="preserve">a </w:t>
      </w:r>
      <w:r w:rsidR="003C2467" w:rsidRPr="008B43F6">
        <w:t>tasa media de crecimiento anual</w:t>
      </w:r>
      <w:r w:rsidRPr="008B43F6">
        <w:t xml:space="preserve"> </w:t>
      </w:r>
      <w:r w:rsidRPr="008B43F6">
        <w:lastRenderedPageBreak/>
        <w:t xml:space="preserve">del sector doméstico de 2000 a 2010 </w:t>
      </w:r>
      <w:r w:rsidR="003C2467" w:rsidRPr="008B43F6">
        <w:t>fue de</w:t>
      </w:r>
      <w:r w:rsidRPr="008B43F6">
        <w:t xml:space="preserve"> 0.46%</w:t>
      </w:r>
      <w:r w:rsidRPr="008B43F6">
        <w:rPr>
          <w:rStyle w:val="Refdenotaalpie"/>
        </w:rPr>
        <w:footnoteReference w:id="6"/>
      </w:r>
      <w:r w:rsidR="003C2467" w:rsidRPr="008B43F6">
        <w:t xml:space="preserve">. </w:t>
      </w:r>
      <w:r w:rsidRPr="008B43F6">
        <w:t>De continuar con ésta tasa de crecimiento, el consumo de energía del sector crecería de 765 PJ en 2010 a 801PJ en 2020.</w:t>
      </w:r>
    </w:p>
    <w:p w:rsidR="00690DE5" w:rsidRPr="008B43F6" w:rsidRDefault="00690DE5" w:rsidP="00C12621">
      <w:pPr>
        <w:jc w:val="both"/>
        <w:rPr>
          <w:color w:val="000000" w:themeColor="text1"/>
        </w:rPr>
      </w:pPr>
      <w:r w:rsidRPr="008B43F6">
        <w:rPr>
          <w:color w:val="000000" w:themeColor="text1"/>
        </w:rPr>
        <w:t xml:space="preserve">Los energéticos de mayor crecimiento en el sector doméstico de México al 2020 </w:t>
      </w:r>
      <w:r w:rsidR="00C76D09" w:rsidRPr="008B43F6">
        <w:rPr>
          <w:color w:val="000000" w:themeColor="text1"/>
        </w:rPr>
        <w:t>son l</w:t>
      </w:r>
      <w:r w:rsidR="00740F8E" w:rsidRPr="008B43F6">
        <w:rPr>
          <w:color w:val="000000" w:themeColor="text1"/>
        </w:rPr>
        <w:t>a energía solar,</w:t>
      </w:r>
      <w:r w:rsidRPr="008B43F6">
        <w:rPr>
          <w:color w:val="000000" w:themeColor="text1"/>
        </w:rPr>
        <w:t xml:space="preserve"> el gas</w:t>
      </w:r>
      <w:r w:rsidR="00C76D09" w:rsidRPr="008B43F6">
        <w:rPr>
          <w:color w:val="000000" w:themeColor="text1"/>
        </w:rPr>
        <w:t xml:space="preserve"> natural </w:t>
      </w:r>
      <w:r w:rsidRPr="008B43F6">
        <w:rPr>
          <w:color w:val="000000" w:themeColor="text1"/>
        </w:rPr>
        <w:t>y la energía eléctrica. Los energéticos que disminuyen son la leña</w:t>
      </w:r>
      <w:r w:rsidR="00740F8E" w:rsidRPr="008B43F6">
        <w:rPr>
          <w:color w:val="000000" w:themeColor="text1"/>
        </w:rPr>
        <w:t xml:space="preserve"> </w:t>
      </w:r>
      <w:r w:rsidR="00C76D09" w:rsidRPr="008B43F6">
        <w:rPr>
          <w:color w:val="000000" w:themeColor="text1"/>
        </w:rPr>
        <w:t>y el GLP</w:t>
      </w:r>
      <w:r w:rsidR="00740F8E" w:rsidRPr="008B43F6">
        <w:rPr>
          <w:color w:val="000000" w:themeColor="text1"/>
        </w:rPr>
        <w:t xml:space="preserve"> (</w:t>
      </w:r>
      <w:r w:rsidR="00176AC8" w:rsidRPr="008B43F6">
        <w:rPr>
          <w:color w:val="000000" w:themeColor="text1"/>
        </w:rPr>
        <w:t>Figura</w:t>
      </w:r>
      <w:r w:rsidR="00D5769B" w:rsidRPr="008B43F6">
        <w:rPr>
          <w:color w:val="000000" w:themeColor="text1"/>
        </w:rPr>
        <w:t xml:space="preserve"> 4.1</w:t>
      </w:r>
      <w:r w:rsidR="0026104C" w:rsidRPr="008B43F6">
        <w:rPr>
          <w:color w:val="000000" w:themeColor="text1"/>
        </w:rPr>
        <w:t>4</w:t>
      </w:r>
      <w:r w:rsidR="00740F8E" w:rsidRPr="008B43F6">
        <w:rPr>
          <w:color w:val="000000" w:themeColor="text1"/>
        </w:rPr>
        <w:t>).</w:t>
      </w:r>
    </w:p>
    <w:p w:rsidR="00740F8E" w:rsidRPr="008B43F6" w:rsidRDefault="00176AC8" w:rsidP="00C12621">
      <w:pPr>
        <w:spacing w:after="0"/>
        <w:jc w:val="both"/>
        <w:rPr>
          <w:b/>
          <w:color w:val="000000" w:themeColor="text1"/>
          <w:sz w:val="18"/>
          <w:szCs w:val="18"/>
        </w:rPr>
      </w:pPr>
      <w:r w:rsidRPr="008B43F6">
        <w:rPr>
          <w:b/>
          <w:color w:val="000000" w:themeColor="text1"/>
          <w:sz w:val="18"/>
          <w:szCs w:val="18"/>
        </w:rPr>
        <w:t>Figura</w:t>
      </w:r>
      <w:r w:rsidR="00C01859" w:rsidRPr="008B43F6">
        <w:rPr>
          <w:b/>
          <w:color w:val="000000" w:themeColor="text1"/>
          <w:sz w:val="18"/>
          <w:szCs w:val="18"/>
        </w:rPr>
        <w:t xml:space="preserve"> 4.</w:t>
      </w:r>
      <w:r w:rsidR="00165CC7" w:rsidRPr="008B43F6">
        <w:rPr>
          <w:b/>
          <w:color w:val="000000" w:themeColor="text1"/>
          <w:sz w:val="18"/>
          <w:szCs w:val="18"/>
        </w:rPr>
        <w:t>1</w:t>
      </w:r>
      <w:r w:rsidR="0026104C" w:rsidRPr="008B43F6">
        <w:rPr>
          <w:b/>
          <w:color w:val="000000" w:themeColor="text1"/>
          <w:sz w:val="18"/>
          <w:szCs w:val="18"/>
        </w:rPr>
        <w:t>4</w:t>
      </w:r>
      <w:r w:rsidR="00740F8E" w:rsidRPr="008B43F6">
        <w:rPr>
          <w:b/>
          <w:color w:val="000000" w:themeColor="text1"/>
          <w:sz w:val="18"/>
          <w:szCs w:val="18"/>
        </w:rPr>
        <w:t xml:space="preserve"> </w:t>
      </w:r>
      <w:r w:rsidR="00740F8E" w:rsidRPr="008B43F6">
        <w:rPr>
          <w:color w:val="000000" w:themeColor="text1"/>
          <w:sz w:val="18"/>
          <w:szCs w:val="18"/>
        </w:rPr>
        <w:t>Tendencia de crecimiento del consumo de energía en el sector residencial (2010-2020)</w:t>
      </w:r>
    </w:p>
    <w:p w:rsidR="00604A27" w:rsidRPr="008B43F6" w:rsidRDefault="003C2467" w:rsidP="00C12621">
      <w:pPr>
        <w:spacing w:after="0"/>
        <w:jc w:val="both"/>
        <w:rPr>
          <w:b/>
          <w:color w:val="000000" w:themeColor="text1"/>
          <w:sz w:val="18"/>
          <w:szCs w:val="18"/>
        </w:rPr>
      </w:pPr>
      <w:r w:rsidRPr="008B43F6">
        <w:rPr>
          <w:noProof/>
          <w:sz w:val="18"/>
          <w:szCs w:val="18"/>
          <w:lang w:eastAsia="es-MX"/>
        </w:rPr>
        <w:drawing>
          <wp:inline distT="0" distB="0" distL="0" distR="0" wp14:anchorId="40550406" wp14:editId="1888294F">
            <wp:extent cx="3464314" cy="2520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64314" cy="2520000"/>
                    </a:xfrm>
                    <a:prstGeom prst="rect">
                      <a:avLst/>
                    </a:prstGeom>
                    <a:noFill/>
                    <a:ln>
                      <a:noFill/>
                    </a:ln>
                  </pic:spPr>
                </pic:pic>
              </a:graphicData>
            </a:graphic>
          </wp:inline>
        </w:drawing>
      </w:r>
    </w:p>
    <w:p w:rsidR="00690DE5" w:rsidRPr="008B43F6" w:rsidRDefault="00690DE5" w:rsidP="00C12621">
      <w:pPr>
        <w:jc w:val="both"/>
        <w:rPr>
          <w:color w:val="000000" w:themeColor="text1"/>
          <w:sz w:val="18"/>
          <w:szCs w:val="18"/>
        </w:rPr>
      </w:pPr>
      <w:r w:rsidRPr="008B43F6">
        <w:rPr>
          <w:b/>
          <w:color w:val="000000" w:themeColor="text1"/>
          <w:sz w:val="18"/>
          <w:szCs w:val="18"/>
        </w:rPr>
        <w:t>Fuente:</w:t>
      </w:r>
      <w:r w:rsidR="00E75797" w:rsidRPr="008B43F6">
        <w:rPr>
          <w:color w:val="000000" w:themeColor="text1"/>
          <w:sz w:val="18"/>
          <w:szCs w:val="18"/>
        </w:rPr>
        <w:t xml:space="preserve"> Elaboración propia</w:t>
      </w:r>
      <w:r w:rsidRPr="008B43F6">
        <w:rPr>
          <w:color w:val="000000" w:themeColor="text1"/>
          <w:sz w:val="18"/>
          <w:szCs w:val="18"/>
        </w:rPr>
        <w:t xml:space="preserve"> con datos del Sistema de Información Energética (SENER)</w:t>
      </w:r>
    </w:p>
    <w:p w:rsidR="00740F8E" w:rsidRPr="008B43F6" w:rsidRDefault="00690DE5" w:rsidP="00C12621">
      <w:pPr>
        <w:jc w:val="both"/>
        <w:rPr>
          <w:color w:val="000000" w:themeColor="text1"/>
        </w:rPr>
      </w:pPr>
      <w:r w:rsidRPr="008B43F6">
        <w:rPr>
          <w:color w:val="000000" w:themeColor="text1"/>
        </w:rPr>
        <w:t>Los precios de los energéticos al 2020 también pres</w:t>
      </w:r>
      <w:r w:rsidR="00740F8E" w:rsidRPr="008B43F6">
        <w:rPr>
          <w:color w:val="000000" w:themeColor="text1"/>
        </w:rPr>
        <w:t>entan tendencias de crecimiento:</w:t>
      </w:r>
    </w:p>
    <w:p w:rsidR="00740F8E" w:rsidRPr="008B43F6" w:rsidRDefault="00740F8E" w:rsidP="00C12621">
      <w:pPr>
        <w:pStyle w:val="Prrafodelista"/>
        <w:numPr>
          <w:ilvl w:val="0"/>
          <w:numId w:val="5"/>
        </w:numPr>
        <w:jc w:val="both"/>
        <w:rPr>
          <w:color w:val="000000" w:themeColor="text1"/>
        </w:rPr>
      </w:pPr>
      <w:r w:rsidRPr="008B43F6">
        <w:rPr>
          <w:color w:val="000000" w:themeColor="text1"/>
        </w:rPr>
        <w:t>E</w:t>
      </w:r>
      <w:r w:rsidR="00690DE5" w:rsidRPr="008B43F6">
        <w:rPr>
          <w:color w:val="000000" w:themeColor="text1"/>
        </w:rPr>
        <w:t xml:space="preserve">l precio promedio del kWh doméstico, según la CFE crecerá a una </w:t>
      </w:r>
      <w:r w:rsidR="003C2467" w:rsidRPr="008B43F6">
        <w:rPr>
          <w:color w:val="000000" w:themeColor="text1"/>
        </w:rPr>
        <w:t>tasa media de crecimiento anual</w:t>
      </w:r>
      <w:r w:rsidR="00690DE5" w:rsidRPr="008B43F6">
        <w:rPr>
          <w:color w:val="000000" w:themeColor="text1"/>
        </w:rPr>
        <w:t xml:space="preserve"> del 0.70%; quedando de </w:t>
      </w:r>
      <w:r w:rsidR="00C76D09" w:rsidRPr="008B43F6">
        <w:rPr>
          <w:color w:val="000000" w:themeColor="text1"/>
        </w:rPr>
        <w:t>1.14 $/kWh a 1.22 $/kWh.</w:t>
      </w:r>
    </w:p>
    <w:p w:rsidR="00C76D09" w:rsidRPr="008B43F6" w:rsidRDefault="00C76D09" w:rsidP="00C12621">
      <w:pPr>
        <w:pStyle w:val="Prrafodelista"/>
        <w:numPr>
          <w:ilvl w:val="0"/>
          <w:numId w:val="5"/>
        </w:numPr>
        <w:jc w:val="both"/>
        <w:rPr>
          <w:color w:val="000000" w:themeColor="text1"/>
        </w:rPr>
      </w:pPr>
      <w:r w:rsidRPr="008B43F6">
        <w:rPr>
          <w:color w:val="000000" w:themeColor="text1"/>
        </w:rPr>
        <w:t xml:space="preserve">El costo del GLP también prevé un incremento, considerando una </w:t>
      </w:r>
      <w:r w:rsidR="003C2467" w:rsidRPr="008B43F6">
        <w:rPr>
          <w:color w:val="000000" w:themeColor="text1"/>
        </w:rPr>
        <w:t>tasa media de crecimiento anual</w:t>
      </w:r>
      <w:r w:rsidRPr="008B43F6">
        <w:rPr>
          <w:color w:val="000000" w:themeColor="text1"/>
        </w:rPr>
        <w:t xml:space="preserve"> del 0.50%, lo que significa que de 10.91 $/Kg al 2010, aumentará a 11.47 $/Kg en el 2020.</w:t>
      </w:r>
    </w:p>
    <w:p w:rsidR="00740F8E" w:rsidRPr="008B43F6" w:rsidRDefault="00740F8E" w:rsidP="00C12621">
      <w:pPr>
        <w:pStyle w:val="Prrafodelista"/>
        <w:ind w:left="765"/>
        <w:jc w:val="both"/>
        <w:rPr>
          <w:color w:val="1F497D" w:themeColor="text2"/>
        </w:rPr>
      </w:pPr>
    </w:p>
    <w:p w:rsidR="005C7E01" w:rsidRPr="008B43F6" w:rsidRDefault="005C7E01" w:rsidP="00C12621">
      <w:pPr>
        <w:pStyle w:val="Ttulo2"/>
        <w:numPr>
          <w:ilvl w:val="1"/>
          <w:numId w:val="32"/>
        </w:numPr>
        <w:jc w:val="both"/>
        <w:rPr>
          <w:rFonts w:asciiTheme="minorHAnsi" w:hAnsiTheme="minorHAnsi"/>
        </w:rPr>
      </w:pPr>
      <w:bookmarkStart w:id="74" w:name="_Toc350874984"/>
      <w:bookmarkStart w:id="75" w:name="_Toc351397596"/>
      <w:r w:rsidRPr="008B43F6">
        <w:rPr>
          <w:rFonts w:asciiTheme="minorHAnsi" w:hAnsiTheme="minorHAnsi"/>
        </w:rPr>
        <w:t>Medio Ambiente</w:t>
      </w:r>
      <w:bookmarkEnd w:id="74"/>
      <w:bookmarkEnd w:id="75"/>
    </w:p>
    <w:p w:rsidR="005C7E01" w:rsidRPr="008B43F6" w:rsidRDefault="00A97CBB" w:rsidP="00C12621">
      <w:pPr>
        <w:pStyle w:val="Ttulo3"/>
        <w:jc w:val="both"/>
        <w:rPr>
          <w:rFonts w:asciiTheme="minorHAnsi" w:hAnsiTheme="minorHAnsi"/>
        </w:rPr>
      </w:pPr>
      <w:bookmarkStart w:id="76" w:name="_Toc350874985"/>
      <w:bookmarkStart w:id="77" w:name="_Toc351397597"/>
      <w:r w:rsidRPr="008B43F6">
        <w:rPr>
          <w:rStyle w:val="Ttulo3Car"/>
          <w:rFonts w:asciiTheme="minorHAnsi" w:hAnsiTheme="minorHAnsi"/>
          <w:b/>
          <w:bCs/>
        </w:rPr>
        <w:t>4.3.1</w:t>
      </w:r>
      <w:r w:rsidRPr="008B43F6">
        <w:rPr>
          <w:rFonts w:asciiTheme="minorHAnsi" w:hAnsiTheme="minorHAnsi"/>
        </w:rPr>
        <w:t xml:space="preserve"> </w:t>
      </w:r>
      <w:r w:rsidR="005C7E01" w:rsidRPr="008B43F6">
        <w:rPr>
          <w:rFonts w:asciiTheme="minorHAnsi" w:hAnsiTheme="minorHAnsi"/>
        </w:rPr>
        <w:t>Emisiones</w:t>
      </w:r>
      <w:bookmarkEnd w:id="76"/>
      <w:bookmarkEnd w:id="77"/>
    </w:p>
    <w:p w:rsidR="00C76D09" w:rsidRPr="008B43F6" w:rsidRDefault="00C76D09" w:rsidP="00C12621">
      <w:pPr>
        <w:spacing w:after="0"/>
        <w:jc w:val="both"/>
        <w:rPr>
          <w:color w:val="000000" w:themeColor="text1"/>
        </w:rPr>
      </w:pPr>
      <w:r w:rsidRPr="008B43F6">
        <w:rPr>
          <w:color w:val="000000" w:themeColor="text1"/>
        </w:rPr>
        <w:t>Las emisiones por el consumo de energí</w:t>
      </w:r>
      <w:r w:rsidR="00740F8E" w:rsidRPr="008B43F6">
        <w:rPr>
          <w:color w:val="000000" w:themeColor="text1"/>
        </w:rPr>
        <w:t>a en México asciend</w:t>
      </w:r>
      <w:r w:rsidR="00220C19" w:rsidRPr="008B43F6">
        <w:rPr>
          <w:color w:val="000000" w:themeColor="text1"/>
        </w:rPr>
        <w:t>ieron</w:t>
      </w:r>
      <w:r w:rsidR="00740F8E" w:rsidRPr="008B43F6">
        <w:rPr>
          <w:color w:val="000000" w:themeColor="text1"/>
        </w:rPr>
        <w:t xml:space="preserve"> en 2010 a:</w:t>
      </w:r>
    </w:p>
    <w:p w:rsidR="00740F8E" w:rsidRPr="008B43F6" w:rsidRDefault="00740F8E" w:rsidP="00C12621">
      <w:pPr>
        <w:spacing w:after="0"/>
        <w:jc w:val="both"/>
        <w:rPr>
          <w:color w:val="000000" w:themeColor="text1"/>
        </w:rPr>
      </w:pPr>
    </w:p>
    <w:p w:rsidR="00740F8E" w:rsidRPr="008B43F6" w:rsidRDefault="00C76D09" w:rsidP="00C12621">
      <w:pPr>
        <w:pStyle w:val="Prrafodelista"/>
        <w:numPr>
          <w:ilvl w:val="0"/>
          <w:numId w:val="6"/>
        </w:numPr>
        <w:spacing w:after="0"/>
        <w:jc w:val="both"/>
        <w:rPr>
          <w:color w:val="000000" w:themeColor="text1"/>
        </w:rPr>
      </w:pPr>
      <w:r w:rsidRPr="008B43F6">
        <w:rPr>
          <w:color w:val="000000" w:themeColor="text1"/>
        </w:rPr>
        <w:t>385 Millones de toneladas de CO</w:t>
      </w:r>
      <w:r w:rsidRPr="008B43F6">
        <w:rPr>
          <w:color w:val="000000" w:themeColor="text1"/>
          <w:vertAlign w:val="subscript"/>
        </w:rPr>
        <w:t>2</w:t>
      </w:r>
      <w:r w:rsidRPr="008B43F6">
        <w:rPr>
          <w:color w:val="000000" w:themeColor="text1"/>
        </w:rPr>
        <w:t xml:space="preserve">; </w:t>
      </w:r>
    </w:p>
    <w:p w:rsidR="00C76D09" w:rsidRPr="008B43F6" w:rsidRDefault="00C76D09" w:rsidP="00C12621">
      <w:pPr>
        <w:pStyle w:val="Prrafodelista"/>
        <w:numPr>
          <w:ilvl w:val="0"/>
          <w:numId w:val="6"/>
        </w:numPr>
        <w:spacing w:after="0"/>
        <w:jc w:val="both"/>
        <w:rPr>
          <w:color w:val="000000" w:themeColor="text1"/>
        </w:rPr>
      </w:pPr>
      <w:r w:rsidRPr="008B43F6">
        <w:rPr>
          <w:color w:val="000000" w:themeColor="text1"/>
        </w:rPr>
        <w:t>127 mil toneladas de CH</w:t>
      </w:r>
      <w:r w:rsidRPr="008B43F6">
        <w:rPr>
          <w:color w:val="000000" w:themeColor="text1"/>
          <w:vertAlign w:val="subscript"/>
        </w:rPr>
        <w:t>4</w:t>
      </w:r>
      <w:r w:rsidRPr="008B43F6">
        <w:rPr>
          <w:color w:val="000000" w:themeColor="text1"/>
        </w:rPr>
        <w:t>;</w:t>
      </w:r>
    </w:p>
    <w:p w:rsidR="00C76D09" w:rsidRPr="008B43F6" w:rsidRDefault="00C76D09" w:rsidP="00C12621">
      <w:pPr>
        <w:pStyle w:val="Prrafodelista"/>
        <w:numPr>
          <w:ilvl w:val="0"/>
          <w:numId w:val="6"/>
        </w:numPr>
        <w:spacing w:after="0"/>
        <w:jc w:val="both"/>
        <w:rPr>
          <w:color w:val="000000" w:themeColor="text1"/>
        </w:rPr>
      </w:pPr>
      <w:r w:rsidRPr="008B43F6">
        <w:rPr>
          <w:color w:val="000000" w:themeColor="text1"/>
        </w:rPr>
        <w:t>14 mil toneladas de N</w:t>
      </w:r>
      <w:r w:rsidRPr="008B43F6">
        <w:rPr>
          <w:color w:val="000000" w:themeColor="text1"/>
          <w:vertAlign w:val="subscript"/>
        </w:rPr>
        <w:t>2</w:t>
      </w:r>
      <w:r w:rsidRPr="008B43F6">
        <w:rPr>
          <w:color w:val="000000" w:themeColor="text1"/>
        </w:rPr>
        <w:t xml:space="preserve">O; </w:t>
      </w:r>
    </w:p>
    <w:p w:rsidR="00C76D09" w:rsidRPr="008B43F6" w:rsidRDefault="00C76D09" w:rsidP="00C12621">
      <w:pPr>
        <w:pStyle w:val="Prrafodelista"/>
        <w:numPr>
          <w:ilvl w:val="0"/>
          <w:numId w:val="6"/>
        </w:numPr>
        <w:spacing w:after="0"/>
        <w:jc w:val="both"/>
        <w:rPr>
          <w:color w:val="000000" w:themeColor="text1"/>
        </w:rPr>
      </w:pPr>
      <w:r w:rsidRPr="008B43F6">
        <w:rPr>
          <w:color w:val="000000" w:themeColor="text1"/>
        </w:rPr>
        <w:t>1.6 millones de toneladas de NO</w:t>
      </w:r>
      <w:r w:rsidRPr="008B43F6">
        <w:rPr>
          <w:color w:val="000000" w:themeColor="text1"/>
          <w:vertAlign w:val="subscript"/>
        </w:rPr>
        <w:t>x</w:t>
      </w:r>
      <w:r w:rsidRPr="008B43F6">
        <w:rPr>
          <w:color w:val="000000" w:themeColor="text1"/>
        </w:rPr>
        <w:t>;</w:t>
      </w:r>
    </w:p>
    <w:p w:rsidR="00C76D09" w:rsidRPr="008B43F6" w:rsidRDefault="00C76D09" w:rsidP="00C12621">
      <w:pPr>
        <w:pStyle w:val="Prrafodelista"/>
        <w:numPr>
          <w:ilvl w:val="0"/>
          <w:numId w:val="6"/>
        </w:numPr>
        <w:spacing w:after="0"/>
        <w:jc w:val="both"/>
        <w:rPr>
          <w:color w:val="000000" w:themeColor="text1"/>
        </w:rPr>
      </w:pPr>
      <w:r w:rsidRPr="008B43F6">
        <w:rPr>
          <w:color w:val="000000" w:themeColor="text1"/>
        </w:rPr>
        <w:t xml:space="preserve">14.6 millones de toneladas de CO y </w:t>
      </w:r>
    </w:p>
    <w:p w:rsidR="00C76D09" w:rsidRPr="008B43F6" w:rsidRDefault="00C76D09" w:rsidP="00C12621">
      <w:pPr>
        <w:pStyle w:val="Prrafodelista"/>
        <w:numPr>
          <w:ilvl w:val="0"/>
          <w:numId w:val="6"/>
        </w:numPr>
        <w:spacing w:after="0"/>
        <w:jc w:val="both"/>
        <w:rPr>
          <w:color w:val="000000" w:themeColor="text1"/>
        </w:rPr>
      </w:pPr>
      <w:r w:rsidRPr="008B43F6">
        <w:rPr>
          <w:color w:val="000000" w:themeColor="text1"/>
        </w:rPr>
        <w:lastRenderedPageBreak/>
        <w:t>2.5 millones de toneladas de NMVOC.</w:t>
      </w:r>
    </w:p>
    <w:p w:rsidR="00C76D09" w:rsidRPr="008B43F6" w:rsidRDefault="00C76D09" w:rsidP="00C12621">
      <w:pPr>
        <w:spacing w:after="0"/>
        <w:jc w:val="both"/>
        <w:rPr>
          <w:color w:val="000000" w:themeColor="text1"/>
        </w:rPr>
      </w:pPr>
    </w:p>
    <w:p w:rsidR="00C76D09" w:rsidRPr="00A3212E" w:rsidRDefault="00C76D09" w:rsidP="00C12621">
      <w:pPr>
        <w:jc w:val="both"/>
        <w:rPr>
          <w:color w:val="000000" w:themeColor="text1"/>
        </w:rPr>
      </w:pPr>
      <w:r w:rsidRPr="008B43F6">
        <w:rPr>
          <w:color w:val="000000" w:themeColor="text1"/>
        </w:rPr>
        <w:t>Las emisiones correspondientes al uso de la energía en el sector residencial en 2010</w:t>
      </w:r>
      <w:r w:rsidR="00220C19" w:rsidRPr="008B43F6">
        <w:rPr>
          <w:color w:val="000000" w:themeColor="text1"/>
        </w:rPr>
        <w:t xml:space="preserve"> fueron </w:t>
      </w:r>
      <w:r w:rsidR="00A3212E">
        <w:rPr>
          <w:color w:val="000000" w:themeColor="text1"/>
        </w:rPr>
        <w:t>(</w:t>
      </w:r>
      <w:r w:rsidR="00176AC8" w:rsidRPr="00A3212E">
        <w:t>Figura</w:t>
      </w:r>
      <w:r w:rsidR="00220C19" w:rsidRPr="00A3212E">
        <w:t xml:space="preserve"> 4.1</w:t>
      </w:r>
      <w:r w:rsidR="00A3212E" w:rsidRPr="00A3212E">
        <w:t>5</w:t>
      </w:r>
      <w:r w:rsidR="00220C19" w:rsidRPr="00A3212E">
        <w:t>)</w:t>
      </w:r>
      <w:r w:rsidRPr="00A3212E">
        <w:rPr>
          <w:color w:val="000000" w:themeColor="text1"/>
        </w:rPr>
        <w:t>:</w:t>
      </w:r>
    </w:p>
    <w:p w:rsidR="00C76D09" w:rsidRPr="008B43F6" w:rsidRDefault="00C76D09" w:rsidP="00C12621">
      <w:pPr>
        <w:pStyle w:val="Prrafodelista"/>
        <w:numPr>
          <w:ilvl w:val="0"/>
          <w:numId w:val="7"/>
        </w:numPr>
        <w:spacing w:after="0"/>
        <w:jc w:val="both"/>
        <w:rPr>
          <w:color w:val="000000" w:themeColor="text1"/>
        </w:rPr>
      </w:pPr>
      <w:r w:rsidRPr="008B43F6">
        <w:rPr>
          <w:color w:val="000000" w:themeColor="text1"/>
        </w:rPr>
        <w:t xml:space="preserve">74 Millones de toneladas de CO </w:t>
      </w:r>
      <w:r w:rsidR="00220C19" w:rsidRPr="008B43F6">
        <w:rPr>
          <w:color w:val="000000" w:themeColor="text1"/>
        </w:rPr>
        <w:t>(</w:t>
      </w:r>
      <w:r w:rsidRPr="008B43F6">
        <w:rPr>
          <w:color w:val="000000" w:themeColor="text1"/>
        </w:rPr>
        <w:t>19.2% del total del país</w:t>
      </w:r>
      <w:r w:rsidR="00220C19" w:rsidRPr="008B43F6">
        <w:rPr>
          <w:color w:val="000000" w:themeColor="text1"/>
        </w:rPr>
        <w:t>)</w:t>
      </w:r>
      <w:r w:rsidRPr="008B43F6">
        <w:rPr>
          <w:color w:val="000000" w:themeColor="text1"/>
        </w:rPr>
        <w:t>.</w:t>
      </w:r>
    </w:p>
    <w:p w:rsidR="00C76D09" w:rsidRPr="008B43F6" w:rsidRDefault="00C76D09" w:rsidP="00C12621">
      <w:pPr>
        <w:pStyle w:val="Prrafodelista"/>
        <w:numPr>
          <w:ilvl w:val="0"/>
          <w:numId w:val="7"/>
        </w:numPr>
        <w:spacing w:after="0"/>
        <w:jc w:val="both"/>
        <w:rPr>
          <w:color w:val="000000" w:themeColor="text1"/>
        </w:rPr>
      </w:pPr>
      <w:r w:rsidRPr="008B43F6">
        <w:rPr>
          <w:color w:val="000000" w:themeColor="text1"/>
        </w:rPr>
        <w:t>79 mil toneladas de CH</w:t>
      </w:r>
      <w:r w:rsidRPr="008B43F6">
        <w:rPr>
          <w:color w:val="000000" w:themeColor="text1"/>
          <w:vertAlign w:val="subscript"/>
        </w:rPr>
        <w:t>4</w:t>
      </w:r>
      <w:r w:rsidR="00220C19" w:rsidRPr="008B43F6">
        <w:rPr>
          <w:color w:val="000000" w:themeColor="text1"/>
        </w:rPr>
        <w:t xml:space="preserve"> (</w:t>
      </w:r>
      <w:r w:rsidRPr="008B43F6">
        <w:rPr>
          <w:color w:val="000000" w:themeColor="text1"/>
        </w:rPr>
        <w:t>62.2%</w:t>
      </w:r>
      <w:r w:rsidR="00220C19" w:rsidRPr="008B43F6">
        <w:rPr>
          <w:color w:val="000000" w:themeColor="text1"/>
        </w:rPr>
        <w:t>)</w:t>
      </w:r>
      <w:r w:rsidRPr="008B43F6">
        <w:rPr>
          <w:color w:val="000000" w:themeColor="text1"/>
        </w:rPr>
        <w:t>.</w:t>
      </w:r>
    </w:p>
    <w:p w:rsidR="00C76D09" w:rsidRPr="008B43F6" w:rsidRDefault="00C76D09" w:rsidP="00C12621">
      <w:pPr>
        <w:pStyle w:val="Prrafodelista"/>
        <w:numPr>
          <w:ilvl w:val="0"/>
          <w:numId w:val="7"/>
        </w:numPr>
        <w:spacing w:after="0"/>
        <w:jc w:val="both"/>
        <w:rPr>
          <w:color w:val="000000" w:themeColor="text1"/>
        </w:rPr>
      </w:pPr>
      <w:r w:rsidRPr="008B43F6">
        <w:rPr>
          <w:color w:val="000000" w:themeColor="text1"/>
        </w:rPr>
        <w:t>2 mil toneladas de N</w:t>
      </w:r>
      <w:r w:rsidRPr="008B43F6">
        <w:rPr>
          <w:color w:val="000000" w:themeColor="text1"/>
          <w:vertAlign w:val="subscript"/>
        </w:rPr>
        <w:t>2</w:t>
      </w:r>
      <w:r w:rsidRPr="008B43F6">
        <w:rPr>
          <w:color w:val="000000" w:themeColor="text1"/>
        </w:rPr>
        <w:t>O</w:t>
      </w:r>
      <w:r w:rsidR="00220C19" w:rsidRPr="008B43F6">
        <w:rPr>
          <w:color w:val="000000" w:themeColor="text1"/>
        </w:rPr>
        <w:t xml:space="preserve"> (</w:t>
      </w:r>
      <w:r w:rsidRPr="008B43F6">
        <w:rPr>
          <w:color w:val="000000" w:themeColor="text1"/>
        </w:rPr>
        <w:t xml:space="preserve"> 14.3%</w:t>
      </w:r>
      <w:r w:rsidR="00220C19" w:rsidRPr="008B43F6">
        <w:rPr>
          <w:color w:val="000000" w:themeColor="text1"/>
        </w:rPr>
        <w:t>).</w:t>
      </w:r>
    </w:p>
    <w:p w:rsidR="00C76D09" w:rsidRPr="008B43F6" w:rsidRDefault="00C76D09" w:rsidP="00C12621">
      <w:pPr>
        <w:pStyle w:val="Prrafodelista"/>
        <w:numPr>
          <w:ilvl w:val="0"/>
          <w:numId w:val="7"/>
        </w:numPr>
        <w:spacing w:after="0"/>
        <w:jc w:val="both"/>
        <w:rPr>
          <w:color w:val="000000" w:themeColor="text1"/>
        </w:rPr>
      </w:pPr>
      <w:r w:rsidRPr="008B43F6">
        <w:rPr>
          <w:color w:val="000000" w:themeColor="text1"/>
        </w:rPr>
        <w:t>57 mil toneladas de NO</w:t>
      </w:r>
      <w:r w:rsidRPr="008B43F6">
        <w:rPr>
          <w:color w:val="000000" w:themeColor="text1"/>
          <w:vertAlign w:val="subscript"/>
        </w:rPr>
        <w:t>x</w:t>
      </w:r>
      <w:r w:rsidR="00220C19" w:rsidRPr="008B43F6">
        <w:rPr>
          <w:color w:val="000000" w:themeColor="text1"/>
        </w:rPr>
        <w:t xml:space="preserve"> (</w:t>
      </w:r>
      <w:r w:rsidRPr="008B43F6">
        <w:rPr>
          <w:color w:val="000000" w:themeColor="text1"/>
        </w:rPr>
        <w:t xml:space="preserve"> 3.6%</w:t>
      </w:r>
      <w:r w:rsidR="00220C19" w:rsidRPr="008B43F6">
        <w:rPr>
          <w:color w:val="000000" w:themeColor="text1"/>
        </w:rPr>
        <w:t>).</w:t>
      </w:r>
    </w:p>
    <w:p w:rsidR="00C76D09" w:rsidRPr="008B43F6" w:rsidRDefault="00C76D09" w:rsidP="00C12621">
      <w:pPr>
        <w:pStyle w:val="Prrafodelista"/>
        <w:numPr>
          <w:ilvl w:val="0"/>
          <w:numId w:val="7"/>
        </w:numPr>
        <w:spacing w:after="0"/>
        <w:jc w:val="both"/>
        <w:rPr>
          <w:color w:val="000000" w:themeColor="text1"/>
        </w:rPr>
      </w:pPr>
      <w:r w:rsidRPr="008B43F6">
        <w:rPr>
          <w:color w:val="000000" w:themeColor="text1"/>
        </w:rPr>
        <w:t>1.3 millones de toneladas de CO</w:t>
      </w:r>
      <w:r w:rsidR="00220C19" w:rsidRPr="008B43F6">
        <w:rPr>
          <w:color w:val="000000" w:themeColor="text1"/>
        </w:rPr>
        <w:t xml:space="preserve"> (</w:t>
      </w:r>
      <w:r w:rsidRPr="008B43F6">
        <w:rPr>
          <w:color w:val="000000" w:themeColor="text1"/>
        </w:rPr>
        <w:t xml:space="preserve"> 8.9%</w:t>
      </w:r>
      <w:r w:rsidR="00220C19" w:rsidRPr="008B43F6">
        <w:rPr>
          <w:color w:val="000000" w:themeColor="text1"/>
        </w:rPr>
        <w:t>)</w:t>
      </w:r>
    </w:p>
    <w:p w:rsidR="00C76D09" w:rsidRPr="008B43F6" w:rsidRDefault="00C76D09" w:rsidP="00C12621">
      <w:pPr>
        <w:pStyle w:val="Prrafodelista"/>
        <w:numPr>
          <w:ilvl w:val="0"/>
          <w:numId w:val="7"/>
        </w:numPr>
        <w:spacing w:after="0"/>
        <w:jc w:val="both"/>
        <w:rPr>
          <w:color w:val="000000" w:themeColor="text1"/>
        </w:rPr>
      </w:pPr>
      <w:r w:rsidRPr="008B43F6">
        <w:rPr>
          <w:color w:val="000000" w:themeColor="text1"/>
        </w:rPr>
        <w:t>157 mil toneladas de NMVOC</w:t>
      </w:r>
      <w:r w:rsidR="00220C19" w:rsidRPr="008B43F6">
        <w:rPr>
          <w:color w:val="000000" w:themeColor="text1"/>
        </w:rPr>
        <w:t xml:space="preserve"> (</w:t>
      </w:r>
      <w:r w:rsidRPr="008B43F6">
        <w:rPr>
          <w:color w:val="000000" w:themeColor="text1"/>
        </w:rPr>
        <w:t xml:space="preserve"> 6.3%</w:t>
      </w:r>
      <w:r w:rsidR="00220C19" w:rsidRPr="008B43F6">
        <w:rPr>
          <w:color w:val="000000" w:themeColor="text1"/>
        </w:rPr>
        <w:t>).</w:t>
      </w:r>
    </w:p>
    <w:p w:rsidR="00740F8E" w:rsidRPr="008B43F6" w:rsidRDefault="00740F8E" w:rsidP="00C12621">
      <w:pPr>
        <w:spacing w:after="0"/>
        <w:jc w:val="both"/>
        <w:rPr>
          <w:color w:val="1F497D" w:themeColor="text2"/>
        </w:rPr>
      </w:pPr>
    </w:p>
    <w:p w:rsidR="00C01859" w:rsidRPr="008B43F6" w:rsidRDefault="00C01859" w:rsidP="00C12621">
      <w:pPr>
        <w:spacing w:after="0"/>
        <w:jc w:val="both"/>
        <w:rPr>
          <w:b/>
          <w:sz w:val="18"/>
          <w:szCs w:val="18"/>
        </w:rPr>
      </w:pPr>
    </w:p>
    <w:p w:rsidR="00740F8E" w:rsidRPr="008B43F6" w:rsidRDefault="00176AC8" w:rsidP="00C12621">
      <w:pPr>
        <w:spacing w:after="0"/>
        <w:jc w:val="both"/>
        <w:rPr>
          <w:b/>
          <w:sz w:val="18"/>
          <w:szCs w:val="18"/>
        </w:rPr>
      </w:pPr>
      <w:r w:rsidRPr="008B43F6">
        <w:rPr>
          <w:b/>
          <w:sz w:val="18"/>
          <w:szCs w:val="18"/>
        </w:rPr>
        <w:t>Figura</w:t>
      </w:r>
      <w:r w:rsidR="00C01859" w:rsidRPr="008B43F6">
        <w:rPr>
          <w:b/>
          <w:sz w:val="18"/>
          <w:szCs w:val="18"/>
        </w:rPr>
        <w:t xml:space="preserve"> 4.</w:t>
      </w:r>
      <w:r w:rsidR="00165CC7" w:rsidRPr="008B43F6">
        <w:rPr>
          <w:b/>
          <w:sz w:val="18"/>
          <w:szCs w:val="18"/>
        </w:rPr>
        <w:t>1</w:t>
      </w:r>
      <w:r w:rsidR="0026104C" w:rsidRPr="008B43F6">
        <w:rPr>
          <w:b/>
          <w:sz w:val="18"/>
          <w:szCs w:val="18"/>
        </w:rPr>
        <w:t>5</w:t>
      </w:r>
      <w:r w:rsidR="00C01859" w:rsidRPr="008B43F6">
        <w:rPr>
          <w:b/>
          <w:sz w:val="18"/>
          <w:szCs w:val="18"/>
        </w:rPr>
        <w:t xml:space="preserve"> </w:t>
      </w:r>
      <w:r w:rsidR="00740F8E" w:rsidRPr="008B43F6">
        <w:rPr>
          <w:b/>
          <w:sz w:val="18"/>
          <w:szCs w:val="18"/>
        </w:rPr>
        <w:t xml:space="preserve"> </w:t>
      </w:r>
      <w:r w:rsidR="00740F8E" w:rsidRPr="008B43F6">
        <w:rPr>
          <w:sz w:val="18"/>
          <w:szCs w:val="18"/>
        </w:rPr>
        <w:t>Emisiones contaminantes del consumo de energía en México, 2010</w:t>
      </w:r>
    </w:p>
    <w:p w:rsidR="003C2467" w:rsidRPr="008B43F6" w:rsidRDefault="003C2467" w:rsidP="00C12621">
      <w:pPr>
        <w:spacing w:after="0"/>
        <w:jc w:val="both"/>
        <w:rPr>
          <w:noProof/>
          <w:sz w:val="18"/>
          <w:szCs w:val="18"/>
        </w:rPr>
      </w:pPr>
    </w:p>
    <w:p w:rsidR="000E33F4" w:rsidRPr="008B43F6" w:rsidRDefault="0026104C" w:rsidP="00C12621">
      <w:pPr>
        <w:spacing w:after="0"/>
        <w:jc w:val="both"/>
        <w:rPr>
          <w:sz w:val="18"/>
          <w:szCs w:val="18"/>
        </w:rPr>
      </w:pPr>
      <w:r w:rsidRPr="008B43F6">
        <w:rPr>
          <w:noProof/>
          <w:lang w:eastAsia="es-MX"/>
        </w:rPr>
        <w:drawing>
          <wp:inline distT="0" distB="0" distL="0" distR="0" wp14:anchorId="3AA567FC" wp14:editId="7692EF6F">
            <wp:extent cx="3910394" cy="25200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10394" cy="2520000"/>
                    </a:xfrm>
                    <a:prstGeom prst="rect">
                      <a:avLst/>
                    </a:prstGeom>
                    <a:noFill/>
                    <a:ln>
                      <a:noFill/>
                    </a:ln>
                  </pic:spPr>
                </pic:pic>
              </a:graphicData>
            </a:graphic>
          </wp:inline>
        </w:drawing>
      </w:r>
    </w:p>
    <w:p w:rsidR="000E33F4" w:rsidRPr="008B43F6" w:rsidRDefault="000E33F4" w:rsidP="00C12621">
      <w:pPr>
        <w:jc w:val="both"/>
        <w:rPr>
          <w:color w:val="000000" w:themeColor="text1"/>
          <w:sz w:val="18"/>
          <w:szCs w:val="18"/>
        </w:rPr>
      </w:pPr>
      <w:r w:rsidRPr="008B43F6">
        <w:rPr>
          <w:b/>
          <w:sz w:val="18"/>
          <w:szCs w:val="18"/>
        </w:rPr>
        <w:t>Fuente:</w:t>
      </w:r>
      <w:r w:rsidR="00E75797" w:rsidRPr="008B43F6">
        <w:rPr>
          <w:sz w:val="18"/>
          <w:szCs w:val="18"/>
        </w:rPr>
        <w:t xml:space="preserve"> Elaboración propia</w:t>
      </w:r>
      <w:r w:rsidRPr="008B43F6">
        <w:rPr>
          <w:sz w:val="18"/>
          <w:szCs w:val="18"/>
        </w:rPr>
        <w:t xml:space="preserve"> con datos de Sistema de Información Energética (SENER), Factores de Emisiones de</w:t>
      </w:r>
      <w:r w:rsidRPr="008B43F6">
        <w:rPr>
          <w:color w:val="000000" w:themeColor="text1"/>
          <w:sz w:val="18"/>
          <w:szCs w:val="18"/>
        </w:rPr>
        <w:t xml:space="preserve"> IPCC.</w:t>
      </w:r>
    </w:p>
    <w:p w:rsidR="000E33F4" w:rsidRPr="008B43F6" w:rsidRDefault="000E33F4" w:rsidP="00C12621">
      <w:pPr>
        <w:jc w:val="both"/>
        <w:rPr>
          <w:color w:val="000000" w:themeColor="text1"/>
          <w:sz w:val="16"/>
          <w:szCs w:val="16"/>
        </w:rPr>
      </w:pPr>
    </w:p>
    <w:p w:rsidR="00251C87" w:rsidRPr="003E5840" w:rsidRDefault="00251C87" w:rsidP="00C12621">
      <w:pPr>
        <w:pStyle w:val="Ttulo2"/>
        <w:jc w:val="both"/>
        <w:rPr>
          <w:rFonts w:asciiTheme="minorHAnsi" w:hAnsiTheme="minorHAnsi"/>
        </w:rPr>
      </w:pPr>
      <w:bookmarkStart w:id="78" w:name="_Toc350961399"/>
      <w:bookmarkStart w:id="79" w:name="_Toc351077225"/>
      <w:r w:rsidRPr="003E5840">
        <w:rPr>
          <w:rFonts w:asciiTheme="minorHAnsi" w:hAnsiTheme="minorHAnsi"/>
        </w:rPr>
        <w:t>4.4 Economía y empleo</w:t>
      </w:r>
      <w:bookmarkEnd w:id="78"/>
      <w:bookmarkEnd w:id="79"/>
    </w:p>
    <w:p w:rsidR="00251C87" w:rsidRPr="003E5840" w:rsidRDefault="00251C87" w:rsidP="00C12621">
      <w:pPr>
        <w:ind w:left="705"/>
        <w:jc w:val="both"/>
      </w:pPr>
      <w:r w:rsidRPr="003E5840">
        <w:t>La generación de empleo a partir de medidas de eficiencia energética en la vivienda  toma en cuenta las siguientes cifras:</w:t>
      </w:r>
    </w:p>
    <w:p w:rsidR="00251C87" w:rsidRPr="003E5840" w:rsidRDefault="00251C87" w:rsidP="00C12621">
      <w:pPr>
        <w:pStyle w:val="Prrafodelista"/>
        <w:numPr>
          <w:ilvl w:val="0"/>
          <w:numId w:val="46"/>
        </w:numPr>
        <w:jc w:val="both"/>
        <w:rPr>
          <w:rFonts w:cstheme="minorHAnsi"/>
        </w:rPr>
      </w:pPr>
      <w:r w:rsidRPr="003E5840">
        <w:rPr>
          <w:rFonts w:cstheme="minorHAnsi"/>
          <w:b/>
        </w:rPr>
        <w:t>Instalación de colectores solares:</w:t>
      </w:r>
      <w:r w:rsidRPr="003E5840">
        <w:rPr>
          <w:rFonts w:cstheme="minorHAnsi"/>
        </w:rPr>
        <w:t xml:space="preserve"> Un trabajador puede instalar 2m</w:t>
      </w:r>
      <w:r w:rsidRPr="003E5840">
        <w:rPr>
          <w:rFonts w:cstheme="minorHAnsi"/>
          <w:vertAlign w:val="superscript"/>
        </w:rPr>
        <w:t>2</w:t>
      </w:r>
      <w:r w:rsidRPr="003E5840">
        <w:rPr>
          <w:rFonts w:cstheme="minorHAnsi"/>
        </w:rPr>
        <w:t xml:space="preserve"> de colectores cada día. A cada casa se le coloca un colector de 2m</w:t>
      </w:r>
      <w:r w:rsidRPr="003E5840">
        <w:rPr>
          <w:rFonts w:cstheme="minorHAnsi"/>
          <w:vertAlign w:val="superscript"/>
        </w:rPr>
        <w:t>2</w:t>
      </w:r>
      <w:r w:rsidRPr="003E5840">
        <w:rPr>
          <w:rFonts w:cstheme="minorHAnsi"/>
        </w:rPr>
        <w:t>. Se trabajan 250 días del año. Bajo estas circunstancias, para cada mil casas (2,000 m</w:t>
      </w:r>
      <w:r w:rsidRPr="003E5840">
        <w:rPr>
          <w:rFonts w:cstheme="minorHAnsi"/>
          <w:vertAlign w:val="superscript"/>
        </w:rPr>
        <w:t>2</w:t>
      </w:r>
      <w:r w:rsidRPr="003E5840">
        <w:rPr>
          <w:rFonts w:cstheme="minorHAnsi"/>
        </w:rPr>
        <w:t xml:space="preserve"> de colectores) que entren al programa </w:t>
      </w:r>
      <w:r>
        <w:rPr>
          <w:rFonts w:cstheme="minorHAnsi"/>
        </w:rPr>
        <w:t xml:space="preserve">en un año </w:t>
      </w:r>
      <w:r w:rsidRPr="003E5840">
        <w:rPr>
          <w:rFonts w:cstheme="minorHAnsi"/>
        </w:rPr>
        <w:t>se requerirá la mano de obra de 8 instaladores</w:t>
      </w:r>
      <w:r>
        <w:rPr>
          <w:rFonts w:cstheme="minorHAnsi"/>
        </w:rPr>
        <w:t>.</w:t>
      </w:r>
    </w:p>
    <w:p w:rsidR="00251C87" w:rsidRPr="003E5840" w:rsidRDefault="00251C87" w:rsidP="00C12621">
      <w:pPr>
        <w:pStyle w:val="Prrafodelista"/>
        <w:numPr>
          <w:ilvl w:val="0"/>
          <w:numId w:val="46"/>
        </w:numPr>
        <w:shd w:val="clear" w:color="auto" w:fill="FFFFFF"/>
        <w:spacing w:after="0"/>
        <w:jc w:val="both"/>
        <w:rPr>
          <w:rFonts w:cstheme="minorHAnsi"/>
        </w:rPr>
      </w:pPr>
      <w:r w:rsidRPr="003E5840">
        <w:rPr>
          <w:rFonts w:cstheme="minorHAnsi"/>
          <w:b/>
        </w:rPr>
        <w:t>Aislamiento térmico:</w:t>
      </w:r>
      <w:r w:rsidRPr="003E5840">
        <w:rPr>
          <w:rFonts w:cstheme="minorHAnsi"/>
        </w:rPr>
        <w:t xml:space="preserve"> Dos trabajadores pueden instalar 1m</w:t>
      </w:r>
      <w:r w:rsidRPr="003E5840">
        <w:rPr>
          <w:rFonts w:cstheme="minorHAnsi"/>
          <w:vertAlign w:val="superscript"/>
        </w:rPr>
        <w:t>2</w:t>
      </w:r>
      <w:r w:rsidRPr="003E5840">
        <w:rPr>
          <w:rFonts w:cstheme="minorHAnsi"/>
        </w:rPr>
        <w:t xml:space="preserve"> de aislante en 0.2</w:t>
      </w:r>
      <w:r>
        <w:rPr>
          <w:rFonts w:cstheme="minorHAnsi"/>
        </w:rPr>
        <w:t>2</w:t>
      </w:r>
      <w:r w:rsidRPr="003E5840">
        <w:rPr>
          <w:rFonts w:cstheme="minorHAnsi"/>
        </w:rPr>
        <w:t xml:space="preserve"> horas.  Si trabajan 250 días al año en jornadas de 8 horas al día, cada pareja de </w:t>
      </w:r>
      <w:r>
        <w:rPr>
          <w:rFonts w:cstheme="minorHAnsi"/>
        </w:rPr>
        <w:t>instaladores</w:t>
      </w:r>
      <w:r w:rsidRPr="003E5840">
        <w:rPr>
          <w:rFonts w:cstheme="minorHAnsi"/>
        </w:rPr>
        <w:t xml:space="preserve"> podrá instalar </w:t>
      </w:r>
      <w:r>
        <w:rPr>
          <w:rFonts w:cstheme="minorHAnsi"/>
        </w:rPr>
        <w:t>poco más de 9,000</w:t>
      </w:r>
      <w:r w:rsidRPr="003E5840">
        <w:rPr>
          <w:rFonts w:cstheme="minorHAnsi"/>
        </w:rPr>
        <w:t xml:space="preserve"> m</w:t>
      </w:r>
      <w:r w:rsidRPr="003E5840">
        <w:rPr>
          <w:rFonts w:cstheme="minorHAnsi"/>
          <w:vertAlign w:val="superscript"/>
        </w:rPr>
        <w:t>2</w:t>
      </w:r>
      <w:r w:rsidRPr="003E5840">
        <w:rPr>
          <w:rFonts w:cstheme="minorHAnsi"/>
        </w:rPr>
        <w:t xml:space="preserve"> de aislante al año</w:t>
      </w:r>
      <w:r>
        <w:rPr>
          <w:rFonts w:cstheme="minorHAnsi"/>
        </w:rPr>
        <w:t>. Considerando un promedio de 200 m2 por casa, se genera un empleo al año por cada 45 casas (o 22 empleos por cada mil casas).</w:t>
      </w:r>
    </w:p>
    <w:p w:rsidR="00251C87" w:rsidRPr="006276DC" w:rsidRDefault="00251C87" w:rsidP="00C12621">
      <w:pPr>
        <w:pStyle w:val="Prrafodelista"/>
        <w:numPr>
          <w:ilvl w:val="0"/>
          <w:numId w:val="46"/>
        </w:numPr>
        <w:shd w:val="clear" w:color="auto" w:fill="FFFFFF"/>
        <w:spacing w:after="0"/>
        <w:jc w:val="both"/>
        <w:rPr>
          <w:rFonts w:cstheme="minorHAnsi"/>
        </w:rPr>
      </w:pPr>
      <w:r w:rsidRPr="006276DC">
        <w:rPr>
          <w:rFonts w:cstheme="minorHAnsi"/>
          <w:b/>
        </w:rPr>
        <w:lastRenderedPageBreak/>
        <w:t xml:space="preserve">Manufactura: </w:t>
      </w:r>
      <w:r>
        <w:rPr>
          <w:rFonts w:cstheme="minorHAnsi"/>
        </w:rPr>
        <w:t>S</w:t>
      </w:r>
      <w:r w:rsidRPr="006276DC">
        <w:rPr>
          <w:rFonts w:cstheme="minorHAnsi"/>
        </w:rPr>
        <w:t xml:space="preserve">e considera </w:t>
      </w:r>
      <w:r>
        <w:rPr>
          <w:rFonts w:cstheme="minorHAnsi"/>
        </w:rPr>
        <w:t>un empleo por cada</w:t>
      </w:r>
      <w:r w:rsidRPr="006276DC">
        <w:rPr>
          <w:rFonts w:cstheme="minorHAnsi"/>
        </w:rPr>
        <w:t xml:space="preserve"> 1</w:t>
      </w:r>
      <w:r>
        <w:rPr>
          <w:rFonts w:cstheme="minorHAnsi"/>
        </w:rPr>
        <w:t>,</w:t>
      </w:r>
      <w:r w:rsidRPr="006276DC">
        <w:rPr>
          <w:rFonts w:cstheme="minorHAnsi"/>
        </w:rPr>
        <w:t>000 equipos en un año</w:t>
      </w:r>
      <w:r>
        <w:rPr>
          <w:rFonts w:cstheme="minorHAnsi"/>
        </w:rPr>
        <w:t xml:space="preserve"> (un empleo por equipo por casa), por lo que, al considerar cuatro equipos mayores (refrigerador, calentador solar de agua, lavadora de ropa y estufa) se consideran 4 empleos por cada mil casas</w:t>
      </w:r>
      <w:r w:rsidRPr="006276DC">
        <w:rPr>
          <w:rFonts w:cstheme="minorHAnsi"/>
        </w:rPr>
        <w:t xml:space="preserve"> </w:t>
      </w:r>
      <w:r w:rsidRPr="006276DC">
        <w:rPr>
          <w:rFonts w:cstheme="minorHAnsi"/>
        </w:rPr>
        <w:fldChar w:fldCharType="begin"/>
      </w:r>
      <w:r>
        <w:rPr>
          <w:rFonts w:cstheme="minorHAnsi"/>
        </w:rPr>
        <w:instrText xml:space="preserve"> ADDIN EN.CITE &lt;EndNote&gt;&lt;Cite&gt;&lt;Author&gt;INEGI&lt;/Author&gt;&lt;Year&gt;2011&lt;/Year&gt;&lt;RecNum&gt;98&lt;/RecNum&gt;&lt;DisplayText&gt;[33]&lt;/DisplayText&gt;&lt;record&gt;&lt;rec-number&gt;98&lt;/rec-number&gt;&lt;foreign-keys&gt;&lt;key app="EN" db-id="w0w9edzzlxxfdgesvf359ft8wzxverspwaav"&gt;98&lt;/key&gt;&lt;/foreign-keys&gt;&lt;ref-type name="Government Document"&gt;46&lt;/ref-type&gt;&lt;contributors&gt;&lt;authors&gt;&lt;author&gt;INEGI&lt;/author&gt;&lt;/authors&gt;&lt;/contributors&gt;&lt;titles&gt;&lt;title&gt;Encuesta Anual de la Industria Manufacturera EAIM 2009-2010&lt;/title&gt;&lt;/titles&gt;&lt;dates&gt;&lt;year&gt;2011&lt;/year&gt;&lt;/dates&gt;&lt;urls&gt;&lt;/urls&gt;&lt;/record&gt;&lt;/Cite&gt;&lt;/EndNote&gt;</w:instrText>
      </w:r>
      <w:r w:rsidRPr="006276DC">
        <w:rPr>
          <w:rFonts w:cstheme="minorHAnsi"/>
        </w:rPr>
        <w:fldChar w:fldCharType="separate"/>
      </w:r>
      <w:r>
        <w:rPr>
          <w:rFonts w:cstheme="minorHAnsi"/>
          <w:noProof/>
        </w:rPr>
        <w:t>[</w:t>
      </w:r>
      <w:hyperlink w:anchor="_ENREF_33" w:tooltip="INEGI, 2011 #98" w:history="1">
        <w:r>
          <w:rPr>
            <w:rFonts w:cstheme="minorHAnsi"/>
            <w:noProof/>
          </w:rPr>
          <w:t>33</w:t>
        </w:r>
      </w:hyperlink>
      <w:r>
        <w:rPr>
          <w:rFonts w:cstheme="minorHAnsi"/>
          <w:noProof/>
        </w:rPr>
        <w:t>]</w:t>
      </w:r>
      <w:r w:rsidRPr="006276DC">
        <w:rPr>
          <w:rFonts w:cstheme="minorHAnsi"/>
        </w:rPr>
        <w:fldChar w:fldCharType="end"/>
      </w:r>
      <w:r w:rsidRPr="006276DC">
        <w:rPr>
          <w:rFonts w:cstheme="minorHAnsi"/>
        </w:rPr>
        <w:t>.</w:t>
      </w:r>
    </w:p>
    <w:p w:rsidR="00251C87" w:rsidRDefault="00251C87" w:rsidP="00C12621">
      <w:pPr>
        <w:jc w:val="both"/>
      </w:pPr>
    </w:p>
    <w:p w:rsidR="005C7E01" w:rsidRDefault="00251C87" w:rsidP="00C12621">
      <w:pPr>
        <w:jc w:val="both"/>
      </w:pPr>
      <w:r>
        <w:t>Es importante anotar que los empleos por año arriba anotados se generarán en el primer año del programa y solo se generarán más empleos por año si sube el número de casas respecto del año anterior. En otras palabras, el cálculo de empleos sólo se hace sobre el número de casas del año con más instalaciones, no sobre el acumulado de esas instalaciones.</w:t>
      </w:r>
    </w:p>
    <w:p w:rsidR="00C12621" w:rsidRPr="008B43F6" w:rsidRDefault="00C12621" w:rsidP="00C12621">
      <w:pPr>
        <w:jc w:val="both"/>
      </w:pPr>
    </w:p>
    <w:p w:rsidR="005C7E01" w:rsidRPr="008B43F6" w:rsidRDefault="00BF0BE8" w:rsidP="00C12621">
      <w:pPr>
        <w:pStyle w:val="Ttulo1"/>
        <w:numPr>
          <w:ilvl w:val="0"/>
          <w:numId w:val="18"/>
        </w:numPr>
        <w:jc w:val="both"/>
        <w:rPr>
          <w:rFonts w:asciiTheme="minorHAnsi" w:hAnsiTheme="minorHAnsi"/>
        </w:rPr>
      </w:pPr>
      <w:bookmarkStart w:id="80" w:name="_Toc350874986"/>
      <w:bookmarkStart w:id="81" w:name="_Toc351397598"/>
      <w:r w:rsidRPr="008B43F6">
        <w:rPr>
          <w:rFonts w:asciiTheme="minorHAnsi" w:hAnsiTheme="minorHAnsi"/>
        </w:rPr>
        <w:t>Escenario</w:t>
      </w:r>
      <w:r w:rsidR="005C7E01" w:rsidRPr="008B43F6">
        <w:rPr>
          <w:rFonts w:asciiTheme="minorHAnsi" w:hAnsiTheme="minorHAnsi"/>
        </w:rPr>
        <w:t xml:space="preserve">s de </w:t>
      </w:r>
      <w:r w:rsidR="00220C19" w:rsidRPr="008B43F6">
        <w:rPr>
          <w:rFonts w:asciiTheme="minorHAnsi" w:hAnsiTheme="minorHAnsi"/>
        </w:rPr>
        <w:t>c</w:t>
      </w:r>
      <w:r w:rsidR="005C7E01" w:rsidRPr="008B43F6">
        <w:rPr>
          <w:rFonts w:asciiTheme="minorHAnsi" w:hAnsiTheme="minorHAnsi"/>
        </w:rPr>
        <w:t>o-beneficios</w:t>
      </w:r>
      <w:bookmarkEnd w:id="80"/>
      <w:r w:rsidR="005C7E01" w:rsidRPr="008B43F6">
        <w:rPr>
          <w:rFonts w:asciiTheme="minorHAnsi" w:hAnsiTheme="minorHAnsi"/>
        </w:rPr>
        <w:t xml:space="preserve"> </w:t>
      </w:r>
      <w:r w:rsidR="00220C19" w:rsidRPr="008B43F6">
        <w:rPr>
          <w:rFonts w:asciiTheme="minorHAnsi" w:hAnsiTheme="minorHAnsi"/>
        </w:rPr>
        <w:t>de la vivienda baja en carbono en México.</w:t>
      </w:r>
      <w:bookmarkEnd w:id="81"/>
    </w:p>
    <w:p w:rsidR="005C43E9" w:rsidRPr="008B43F6" w:rsidRDefault="005C43E9" w:rsidP="00C12621">
      <w:pPr>
        <w:jc w:val="both"/>
      </w:pPr>
      <w:r w:rsidRPr="008B43F6">
        <w:t xml:space="preserve">Para calcular los co-beneficios de la vivienda baja en carbono, se construyeron </w:t>
      </w:r>
      <w:r w:rsidR="00220C19" w:rsidRPr="008B43F6">
        <w:t>e</w:t>
      </w:r>
      <w:r w:rsidR="00BF0BE8" w:rsidRPr="008B43F6">
        <w:t>scenario</w:t>
      </w:r>
      <w:r w:rsidR="0019404F" w:rsidRPr="008B43F6">
        <w:t>s basados en las siguientes consideraciones:</w:t>
      </w:r>
    </w:p>
    <w:p w:rsidR="005C43E9" w:rsidRPr="008B43F6" w:rsidRDefault="005C43E9" w:rsidP="00C12621">
      <w:pPr>
        <w:pStyle w:val="Prrafodelista"/>
        <w:numPr>
          <w:ilvl w:val="0"/>
          <w:numId w:val="8"/>
        </w:numPr>
        <w:jc w:val="both"/>
        <w:rPr>
          <w:color w:val="000000" w:themeColor="text1"/>
        </w:rPr>
      </w:pPr>
      <w:r w:rsidRPr="008B43F6">
        <w:rPr>
          <w:b/>
          <w:color w:val="000000" w:themeColor="text1"/>
        </w:rPr>
        <w:t>Vivienda sustentable.</w:t>
      </w:r>
      <w:r w:rsidRPr="008B43F6">
        <w:rPr>
          <w:color w:val="000000" w:themeColor="text1"/>
        </w:rPr>
        <w:t xml:space="preserve"> </w:t>
      </w:r>
      <w:r w:rsidR="00220C19" w:rsidRPr="008B43F6">
        <w:rPr>
          <w:color w:val="000000" w:themeColor="text1"/>
        </w:rPr>
        <w:t>Para los propósitos de este trabajo, s</w:t>
      </w:r>
      <w:r w:rsidRPr="008B43F6">
        <w:rPr>
          <w:color w:val="000000" w:themeColor="text1"/>
        </w:rPr>
        <w:t xml:space="preserve">e considera que una vivienda sustentable es aquella que cuenta con lámparas fluorescentes compactas, refrigeradores y lavadoras regidos por la última norma aplicada, con aislante térmico, y con calentadores solares de agua (Tabla </w:t>
      </w:r>
      <w:r w:rsidR="00E75797" w:rsidRPr="008B43F6">
        <w:rPr>
          <w:color w:val="000000" w:themeColor="text1"/>
        </w:rPr>
        <w:t>5.1</w:t>
      </w:r>
      <w:r w:rsidRPr="008B43F6">
        <w:rPr>
          <w:color w:val="000000" w:themeColor="text1"/>
        </w:rPr>
        <w:t>)</w:t>
      </w:r>
    </w:p>
    <w:p w:rsidR="005C43E9" w:rsidRPr="008B43F6" w:rsidRDefault="005C43E9" w:rsidP="00C12621">
      <w:pPr>
        <w:spacing w:after="0"/>
        <w:ind w:left="720"/>
        <w:jc w:val="both"/>
        <w:rPr>
          <w:b/>
          <w:color w:val="000000" w:themeColor="text1"/>
          <w:sz w:val="18"/>
          <w:szCs w:val="18"/>
        </w:rPr>
      </w:pPr>
      <w:r w:rsidRPr="008B43F6">
        <w:rPr>
          <w:b/>
          <w:color w:val="000000" w:themeColor="text1"/>
          <w:sz w:val="18"/>
          <w:szCs w:val="18"/>
        </w:rPr>
        <w:t xml:space="preserve">Tabla </w:t>
      </w:r>
      <w:r w:rsidR="00165CC7" w:rsidRPr="008B43F6">
        <w:rPr>
          <w:b/>
          <w:color w:val="000000" w:themeColor="text1"/>
          <w:sz w:val="18"/>
          <w:szCs w:val="18"/>
        </w:rPr>
        <w:t xml:space="preserve">5.1 </w:t>
      </w:r>
      <w:r w:rsidRPr="008B43F6">
        <w:rPr>
          <w:b/>
          <w:color w:val="000000" w:themeColor="text1"/>
          <w:sz w:val="18"/>
          <w:szCs w:val="18"/>
        </w:rPr>
        <w:t xml:space="preserve"> </w:t>
      </w:r>
      <w:r w:rsidRPr="008B43F6">
        <w:rPr>
          <w:color w:val="000000" w:themeColor="text1"/>
          <w:sz w:val="18"/>
          <w:szCs w:val="18"/>
        </w:rPr>
        <w:t>Equipos conisderados para una vivienda sustentable</w:t>
      </w:r>
    </w:p>
    <w:tbl>
      <w:tblPr>
        <w:tblStyle w:val="Sombreadoclaro"/>
        <w:tblW w:w="897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44"/>
        <w:gridCol w:w="2244"/>
        <w:gridCol w:w="2245"/>
        <w:gridCol w:w="2245"/>
      </w:tblGrid>
      <w:tr w:rsidR="005C43E9" w:rsidRPr="008B43F6" w:rsidTr="00BF0B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4" w:type="dxa"/>
            <w:tcBorders>
              <w:top w:val="none" w:sz="0" w:space="0" w:color="auto"/>
              <w:left w:val="none" w:sz="0" w:space="0" w:color="auto"/>
              <w:bottom w:val="none" w:sz="0" w:space="0" w:color="auto"/>
              <w:right w:val="none" w:sz="0" w:space="0" w:color="auto"/>
            </w:tcBorders>
            <w:shd w:val="clear" w:color="auto" w:fill="4F81BD" w:themeFill="accent1"/>
          </w:tcPr>
          <w:p w:rsidR="005C43E9" w:rsidRPr="008B43F6" w:rsidRDefault="005C43E9" w:rsidP="00C12621">
            <w:pPr>
              <w:pStyle w:val="Prrafodelista"/>
              <w:spacing w:line="276" w:lineRule="auto"/>
              <w:ind w:left="360"/>
              <w:jc w:val="both"/>
              <w:rPr>
                <w:b w:val="0"/>
                <w:color w:val="FFFFFF" w:themeColor="background1"/>
                <w:sz w:val="18"/>
                <w:szCs w:val="18"/>
              </w:rPr>
            </w:pPr>
            <w:r w:rsidRPr="008B43F6">
              <w:rPr>
                <w:color w:val="FFFFFF" w:themeColor="background1"/>
                <w:sz w:val="18"/>
                <w:szCs w:val="18"/>
              </w:rPr>
              <w:t>Equipo Eficiente</w:t>
            </w:r>
          </w:p>
        </w:tc>
        <w:tc>
          <w:tcPr>
            <w:tcW w:w="2244" w:type="dxa"/>
            <w:tcBorders>
              <w:top w:val="none" w:sz="0" w:space="0" w:color="auto"/>
              <w:left w:val="none" w:sz="0" w:space="0" w:color="auto"/>
              <w:bottom w:val="none" w:sz="0" w:space="0" w:color="auto"/>
              <w:right w:val="none" w:sz="0" w:space="0" w:color="auto"/>
            </w:tcBorders>
            <w:shd w:val="clear" w:color="auto" w:fill="4F81BD" w:themeFill="accent1"/>
          </w:tcPr>
          <w:p w:rsidR="005C43E9" w:rsidRPr="008B43F6" w:rsidRDefault="005C43E9" w:rsidP="00C12621">
            <w:pPr>
              <w:spacing w:line="276" w:lineRule="auto"/>
              <w:ind w:left="709"/>
              <w:jc w:val="both"/>
              <w:cnfStyle w:val="100000000000" w:firstRow="1" w:lastRow="0" w:firstColumn="0" w:lastColumn="0" w:oddVBand="0" w:evenVBand="0" w:oddHBand="0" w:evenHBand="0" w:firstRowFirstColumn="0" w:firstRowLastColumn="0" w:lastRowFirstColumn="0" w:lastRowLastColumn="0"/>
              <w:rPr>
                <w:b w:val="0"/>
                <w:color w:val="FFFFFF" w:themeColor="background1"/>
                <w:sz w:val="18"/>
                <w:szCs w:val="18"/>
              </w:rPr>
            </w:pPr>
            <w:r w:rsidRPr="008B43F6">
              <w:rPr>
                <w:color w:val="FFFFFF" w:themeColor="background1"/>
                <w:sz w:val="18"/>
                <w:szCs w:val="18"/>
              </w:rPr>
              <w:t>Tamaño</w:t>
            </w:r>
          </w:p>
        </w:tc>
        <w:tc>
          <w:tcPr>
            <w:tcW w:w="2245" w:type="dxa"/>
            <w:tcBorders>
              <w:top w:val="none" w:sz="0" w:space="0" w:color="auto"/>
              <w:left w:val="none" w:sz="0" w:space="0" w:color="auto"/>
              <w:bottom w:val="none" w:sz="0" w:space="0" w:color="auto"/>
              <w:right w:val="none" w:sz="0" w:space="0" w:color="auto"/>
            </w:tcBorders>
            <w:shd w:val="clear" w:color="auto" w:fill="4F81BD" w:themeFill="accent1"/>
          </w:tcPr>
          <w:p w:rsidR="005C43E9" w:rsidRPr="008B43F6" w:rsidRDefault="005C43E9" w:rsidP="00C12621">
            <w:pPr>
              <w:spacing w:line="276" w:lineRule="auto"/>
              <w:ind w:left="709"/>
              <w:jc w:val="both"/>
              <w:cnfStyle w:val="100000000000" w:firstRow="1" w:lastRow="0" w:firstColumn="0" w:lastColumn="0" w:oddVBand="0" w:evenVBand="0" w:oddHBand="0" w:evenHBand="0" w:firstRowFirstColumn="0" w:firstRowLastColumn="0" w:lastRowFirstColumn="0" w:lastRowLastColumn="0"/>
              <w:rPr>
                <w:b w:val="0"/>
                <w:color w:val="FFFFFF" w:themeColor="background1"/>
                <w:sz w:val="18"/>
                <w:szCs w:val="18"/>
              </w:rPr>
            </w:pPr>
            <w:r w:rsidRPr="008B43F6">
              <w:rPr>
                <w:color w:val="FFFFFF" w:themeColor="background1"/>
                <w:sz w:val="18"/>
                <w:szCs w:val="18"/>
              </w:rPr>
              <w:t xml:space="preserve">Consumo </w:t>
            </w:r>
          </w:p>
        </w:tc>
        <w:tc>
          <w:tcPr>
            <w:tcW w:w="2245" w:type="dxa"/>
            <w:tcBorders>
              <w:top w:val="none" w:sz="0" w:space="0" w:color="auto"/>
              <w:left w:val="none" w:sz="0" w:space="0" w:color="auto"/>
              <w:bottom w:val="none" w:sz="0" w:space="0" w:color="auto"/>
              <w:right w:val="none" w:sz="0" w:space="0" w:color="auto"/>
            </w:tcBorders>
            <w:shd w:val="clear" w:color="auto" w:fill="4F81BD" w:themeFill="accent1"/>
          </w:tcPr>
          <w:p w:rsidR="005C43E9" w:rsidRPr="008B43F6" w:rsidRDefault="005C43E9" w:rsidP="00C12621">
            <w:pPr>
              <w:spacing w:line="276" w:lineRule="auto"/>
              <w:ind w:left="709"/>
              <w:jc w:val="both"/>
              <w:cnfStyle w:val="100000000000" w:firstRow="1" w:lastRow="0" w:firstColumn="0" w:lastColumn="0" w:oddVBand="0" w:evenVBand="0" w:oddHBand="0" w:evenHBand="0" w:firstRowFirstColumn="0" w:firstRowLastColumn="0" w:lastRowFirstColumn="0" w:lastRowLastColumn="0"/>
              <w:rPr>
                <w:b w:val="0"/>
                <w:color w:val="FFFFFF" w:themeColor="background1"/>
                <w:sz w:val="18"/>
                <w:szCs w:val="18"/>
              </w:rPr>
            </w:pPr>
            <w:r w:rsidRPr="008B43F6">
              <w:rPr>
                <w:color w:val="FFFFFF" w:themeColor="background1"/>
                <w:sz w:val="18"/>
                <w:szCs w:val="18"/>
              </w:rPr>
              <w:t>Precio (pesos)</w:t>
            </w:r>
          </w:p>
        </w:tc>
      </w:tr>
      <w:tr w:rsidR="005C43E9" w:rsidRPr="008B43F6" w:rsidTr="00BF0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4" w:type="dxa"/>
            <w:tcBorders>
              <w:left w:val="none" w:sz="0" w:space="0" w:color="auto"/>
              <w:right w:val="none" w:sz="0" w:space="0" w:color="auto"/>
            </w:tcBorders>
            <w:shd w:val="clear" w:color="auto" w:fill="auto"/>
          </w:tcPr>
          <w:p w:rsidR="005C43E9" w:rsidRPr="008B43F6" w:rsidRDefault="005C43E9" w:rsidP="00C12621">
            <w:pPr>
              <w:spacing w:line="276" w:lineRule="auto"/>
              <w:ind w:left="709"/>
              <w:jc w:val="both"/>
              <w:rPr>
                <w:b w:val="0"/>
                <w:color w:val="000000" w:themeColor="text1"/>
                <w:sz w:val="18"/>
                <w:szCs w:val="18"/>
              </w:rPr>
            </w:pPr>
            <w:r w:rsidRPr="008B43F6">
              <w:rPr>
                <w:color w:val="000000" w:themeColor="text1"/>
                <w:sz w:val="18"/>
                <w:szCs w:val="18"/>
              </w:rPr>
              <w:t xml:space="preserve">Refrigerador </w:t>
            </w:r>
          </w:p>
        </w:tc>
        <w:tc>
          <w:tcPr>
            <w:tcW w:w="2244" w:type="dxa"/>
            <w:tcBorders>
              <w:left w:val="none" w:sz="0" w:space="0" w:color="auto"/>
              <w:right w:val="none" w:sz="0" w:space="0" w:color="auto"/>
            </w:tcBorders>
            <w:shd w:val="clear" w:color="auto" w:fill="auto"/>
          </w:tcPr>
          <w:p w:rsidR="005C43E9" w:rsidRPr="008B43F6" w:rsidRDefault="005C43E9" w:rsidP="00C12621">
            <w:pPr>
              <w:spacing w:line="276" w:lineRule="auto"/>
              <w:ind w:left="709"/>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vertAlign w:val="superscript"/>
              </w:rPr>
            </w:pPr>
            <w:r w:rsidRPr="008B43F6">
              <w:rPr>
                <w:color w:val="000000" w:themeColor="text1"/>
                <w:sz w:val="18"/>
                <w:szCs w:val="18"/>
              </w:rPr>
              <w:t>15 pies</w:t>
            </w:r>
            <w:r w:rsidRPr="008B43F6">
              <w:rPr>
                <w:color w:val="000000" w:themeColor="text1"/>
                <w:sz w:val="18"/>
                <w:szCs w:val="18"/>
                <w:vertAlign w:val="superscript"/>
              </w:rPr>
              <w:t>3</w:t>
            </w:r>
          </w:p>
        </w:tc>
        <w:tc>
          <w:tcPr>
            <w:tcW w:w="2245" w:type="dxa"/>
            <w:tcBorders>
              <w:left w:val="none" w:sz="0" w:space="0" w:color="auto"/>
              <w:right w:val="none" w:sz="0" w:space="0" w:color="auto"/>
            </w:tcBorders>
            <w:shd w:val="clear" w:color="auto" w:fill="auto"/>
          </w:tcPr>
          <w:p w:rsidR="005C43E9" w:rsidRPr="008B43F6" w:rsidRDefault="005C43E9" w:rsidP="00C12621">
            <w:pPr>
              <w:spacing w:line="276" w:lineRule="auto"/>
              <w:ind w:left="709"/>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8B43F6">
              <w:rPr>
                <w:color w:val="000000" w:themeColor="text1"/>
                <w:sz w:val="18"/>
                <w:szCs w:val="18"/>
              </w:rPr>
              <w:t>320 kWh/año</w:t>
            </w:r>
          </w:p>
        </w:tc>
        <w:tc>
          <w:tcPr>
            <w:tcW w:w="2245" w:type="dxa"/>
            <w:tcBorders>
              <w:left w:val="none" w:sz="0" w:space="0" w:color="auto"/>
              <w:right w:val="none" w:sz="0" w:space="0" w:color="auto"/>
            </w:tcBorders>
            <w:shd w:val="clear" w:color="auto" w:fill="auto"/>
          </w:tcPr>
          <w:p w:rsidR="005C43E9" w:rsidRPr="008B43F6" w:rsidRDefault="005C43E9" w:rsidP="00C12621">
            <w:pPr>
              <w:spacing w:line="276" w:lineRule="auto"/>
              <w:ind w:left="709"/>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8B43F6">
              <w:rPr>
                <w:color w:val="000000" w:themeColor="text1"/>
                <w:sz w:val="18"/>
                <w:szCs w:val="18"/>
              </w:rPr>
              <w:t>4,500</w:t>
            </w:r>
          </w:p>
        </w:tc>
      </w:tr>
      <w:tr w:rsidR="005C43E9" w:rsidRPr="008B43F6" w:rsidTr="00BF0BE8">
        <w:tc>
          <w:tcPr>
            <w:cnfStyle w:val="001000000000" w:firstRow="0" w:lastRow="0" w:firstColumn="1" w:lastColumn="0" w:oddVBand="0" w:evenVBand="0" w:oddHBand="0" w:evenHBand="0" w:firstRowFirstColumn="0" w:firstRowLastColumn="0" w:lastRowFirstColumn="0" w:lastRowLastColumn="0"/>
            <w:tcW w:w="2244" w:type="dxa"/>
            <w:shd w:val="clear" w:color="auto" w:fill="auto"/>
          </w:tcPr>
          <w:p w:rsidR="005C43E9" w:rsidRPr="008B43F6" w:rsidRDefault="005C43E9" w:rsidP="00C12621">
            <w:pPr>
              <w:spacing w:line="276" w:lineRule="auto"/>
              <w:ind w:left="709"/>
              <w:jc w:val="both"/>
              <w:rPr>
                <w:b w:val="0"/>
                <w:color w:val="000000" w:themeColor="text1"/>
                <w:sz w:val="18"/>
                <w:szCs w:val="18"/>
              </w:rPr>
            </w:pPr>
            <w:r w:rsidRPr="008B43F6">
              <w:rPr>
                <w:color w:val="000000" w:themeColor="text1"/>
                <w:sz w:val="18"/>
                <w:szCs w:val="18"/>
              </w:rPr>
              <w:t xml:space="preserve">Lavadora </w:t>
            </w:r>
          </w:p>
        </w:tc>
        <w:tc>
          <w:tcPr>
            <w:tcW w:w="2244" w:type="dxa"/>
            <w:shd w:val="clear" w:color="auto" w:fill="auto"/>
          </w:tcPr>
          <w:p w:rsidR="005C43E9" w:rsidRPr="008B43F6" w:rsidRDefault="005C43E9" w:rsidP="00C12621">
            <w:pPr>
              <w:spacing w:line="276" w:lineRule="auto"/>
              <w:ind w:left="709"/>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8B43F6">
              <w:rPr>
                <w:color w:val="000000" w:themeColor="text1"/>
                <w:sz w:val="18"/>
                <w:szCs w:val="18"/>
              </w:rPr>
              <w:t>Agitador, 10kg</w:t>
            </w:r>
          </w:p>
        </w:tc>
        <w:tc>
          <w:tcPr>
            <w:tcW w:w="2245" w:type="dxa"/>
            <w:shd w:val="clear" w:color="auto" w:fill="auto"/>
          </w:tcPr>
          <w:p w:rsidR="005C43E9" w:rsidRPr="008B43F6" w:rsidRDefault="005C43E9" w:rsidP="00C12621">
            <w:pPr>
              <w:spacing w:line="276" w:lineRule="auto"/>
              <w:ind w:left="709"/>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8B43F6">
              <w:rPr>
                <w:color w:val="000000" w:themeColor="text1"/>
                <w:sz w:val="18"/>
                <w:szCs w:val="18"/>
              </w:rPr>
              <w:t>58 kWh/año</w:t>
            </w:r>
          </w:p>
        </w:tc>
        <w:tc>
          <w:tcPr>
            <w:tcW w:w="2245" w:type="dxa"/>
            <w:shd w:val="clear" w:color="auto" w:fill="auto"/>
          </w:tcPr>
          <w:p w:rsidR="005C43E9" w:rsidRPr="008B43F6" w:rsidRDefault="005C43E9" w:rsidP="00C12621">
            <w:pPr>
              <w:spacing w:line="276" w:lineRule="auto"/>
              <w:ind w:left="709"/>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8B43F6">
              <w:rPr>
                <w:color w:val="000000" w:themeColor="text1"/>
                <w:sz w:val="18"/>
                <w:szCs w:val="18"/>
              </w:rPr>
              <w:t>5,000</w:t>
            </w:r>
          </w:p>
        </w:tc>
      </w:tr>
      <w:tr w:rsidR="005C43E9" w:rsidRPr="008B43F6" w:rsidTr="00BF0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4" w:type="dxa"/>
            <w:tcBorders>
              <w:left w:val="none" w:sz="0" w:space="0" w:color="auto"/>
              <w:right w:val="none" w:sz="0" w:space="0" w:color="auto"/>
            </w:tcBorders>
            <w:shd w:val="clear" w:color="auto" w:fill="auto"/>
          </w:tcPr>
          <w:p w:rsidR="005C43E9" w:rsidRPr="008B43F6" w:rsidRDefault="005C43E9" w:rsidP="00C12621">
            <w:pPr>
              <w:spacing w:line="276" w:lineRule="auto"/>
              <w:ind w:left="709"/>
              <w:jc w:val="both"/>
              <w:rPr>
                <w:b w:val="0"/>
                <w:color w:val="000000" w:themeColor="text1"/>
                <w:sz w:val="18"/>
                <w:szCs w:val="18"/>
              </w:rPr>
            </w:pPr>
            <w:r w:rsidRPr="008B43F6">
              <w:rPr>
                <w:color w:val="000000" w:themeColor="text1"/>
                <w:sz w:val="18"/>
                <w:szCs w:val="18"/>
              </w:rPr>
              <w:t>Lámpara Fluorescente Compacta</w:t>
            </w:r>
          </w:p>
        </w:tc>
        <w:tc>
          <w:tcPr>
            <w:tcW w:w="2244" w:type="dxa"/>
            <w:tcBorders>
              <w:left w:val="none" w:sz="0" w:space="0" w:color="auto"/>
              <w:right w:val="none" w:sz="0" w:space="0" w:color="auto"/>
            </w:tcBorders>
            <w:shd w:val="clear" w:color="auto" w:fill="auto"/>
          </w:tcPr>
          <w:p w:rsidR="005C43E9" w:rsidRPr="008B43F6" w:rsidRDefault="005C43E9" w:rsidP="00C12621">
            <w:pPr>
              <w:spacing w:line="276" w:lineRule="auto"/>
              <w:ind w:left="709"/>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8B43F6">
              <w:rPr>
                <w:color w:val="000000" w:themeColor="text1"/>
                <w:sz w:val="18"/>
                <w:szCs w:val="18"/>
              </w:rPr>
              <w:t>4 LFC de 13W</w:t>
            </w:r>
          </w:p>
        </w:tc>
        <w:tc>
          <w:tcPr>
            <w:tcW w:w="2245" w:type="dxa"/>
            <w:tcBorders>
              <w:left w:val="none" w:sz="0" w:space="0" w:color="auto"/>
              <w:right w:val="none" w:sz="0" w:space="0" w:color="auto"/>
            </w:tcBorders>
            <w:shd w:val="clear" w:color="auto" w:fill="auto"/>
          </w:tcPr>
          <w:p w:rsidR="005C43E9" w:rsidRPr="008B43F6" w:rsidRDefault="005C43E9" w:rsidP="00C12621">
            <w:pPr>
              <w:spacing w:line="276" w:lineRule="auto"/>
              <w:ind w:left="709"/>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8B43F6">
              <w:rPr>
                <w:color w:val="000000" w:themeColor="text1"/>
                <w:sz w:val="18"/>
                <w:szCs w:val="18"/>
              </w:rPr>
              <w:t>95 kWh/año</w:t>
            </w:r>
          </w:p>
        </w:tc>
        <w:tc>
          <w:tcPr>
            <w:tcW w:w="2245" w:type="dxa"/>
            <w:tcBorders>
              <w:left w:val="none" w:sz="0" w:space="0" w:color="auto"/>
              <w:right w:val="none" w:sz="0" w:space="0" w:color="auto"/>
            </w:tcBorders>
            <w:shd w:val="clear" w:color="auto" w:fill="auto"/>
          </w:tcPr>
          <w:p w:rsidR="005C43E9" w:rsidRPr="008B43F6" w:rsidRDefault="005C43E9" w:rsidP="00C12621">
            <w:pPr>
              <w:spacing w:line="276" w:lineRule="auto"/>
              <w:ind w:left="709"/>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8B43F6">
              <w:rPr>
                <w:color w:val="000000" w:themeColor="text1"/>
                <w:sz w:val="18"/>
                <w:szCs w:val="18"/>
              </w:rPr>
              <w:t>200</w:t>
            </w:r>
          </w:p>
        </w:tc>
      </w:tr>
      <w:tr w:rsidR="005C43E9" w:rsidRPr="008B43F6" w:rsidTr="00BF0BE8">
        <w:tc>
          <w:tcPr>
            <w:cnfStyle w:val="001000000000" w:firstRow="0" w:lastRow="0" w:firstColumn="1" w:lastColumn="0" w:oddVBand="0" w:evenVBand="0" w:oddHBand="0" w:evenHBand="0" w:firstRowFirstColumn="0" w:firstRowLastColumn="0" w:lastRowFirstColumn="0" w:lastRowLastColumn="0"/>
            <w:tcW w:w="2244" w:type="dxa"/>
            <w:shd w:val="clear" w:color="auto" w:fill="auto"/>
          </w:tcPr>
          <w:p w:rsidR="005C43E9" w:rsidRPr="008B43F6" w:rsidRDefault="005C43E9" w:rsidP="00C12621">
            <w:pPr>
              <w:spacing w:line="276" w:lineRule="auto"/>
              <w:ind w:left="709"/>
              <w:jc w:val="both"/>
              <w:rPr>
                <w:b w:val="0"/>
                <w:color w:val="000000" w:themeColor="text1"/>
                <w:sz w:val="18"/>
                <w:szCs w:val="18"/>
              </w:rPr>
            </w:pPr>
            <w:r w:rsidRPr="008B43F6">
              <w:rPr>
                <w:color w:val="000000" w:themeColor="text1"/>
                <w:sz w:val="18"/>
                <w:szCs w:val="18"/>
              </w:rPr>
              <w:t>Estufa a gas</w:t>
            </w:r>
          </w:p>
        </w:tc>
        <w:tc>
          <w:tcPr>
            <w:tcW w:w="2244" w:type="dxa"/>
            <w:shd w:val="clear" w:color="auto" w:fill="auto"/>
          </w:tcPr>
          <w:p w:rsidR="005C43E9" w:rsidRPr="008B43F6" w:rsidRDefault="005C43E9" w:rsidP="00C12621">
            <w:pPr>
              <w:spacing w:line="276" w:lineRule="auto"/>
              <w:ind w:left="709"/>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vertAlign w:val="superscript"/>
              </w:rPr>
            </w:pPr>
            <w:r w:rsidRPr="008B43F6">
              <w:rPr>
                <w:color w:val="000000" w:themeColor="text1"/>
                <w:sz w:val="18"/>
                <w:szCs w:val="18"/>
              </w:rPr>
              <w:t>4 quemadores encendido electrónico</w:t>
            </w:r>
          </w:p>
        </w:tc>
        <w:tc>
          <w:tcPr>
            <w:tcW w:w="2245" w:type="dxa"/>
            <w:shd w:val="clear" w:color="auto" w:fill="auto"/>
          </w:tcPr>
          <w:p w:rsidR="005C43E9" w:rsidRPr="008B43F6" w:rsidRDefault="005C43E9" w:rsidP="00C12621">
            <w:pPr>
              <w:spacing w:line="276" w:lineRule="auto"/>
              <w:ind w:left="709"/>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8B43F6">
              <w:rPr>
                <w:color w:val="000000" w:themeColor="text1"/>
                <w:sz w:val="18"/>
                <w:szCs w:val="18"/>
              </w:rPr>
              <w:t>4 GJ/año</w:t>
            </w:r>
          </w:p>
        </w:tc>
        <w:tc>
          <w:tcPr>
            <w:tcW w:w="2245" w:type="dxa"/>
            <w:shd w:val="clear" w:color="auto" w:fill="auto"/>
          </w:tcPr>
          <w:p w:rsidR="005C43E9" w:rsidRPr="008B43F6" w:rsidRDefault="005C43E9" w:rsidP="00C12621">
            <w:pPr>
              <w:spacing w:line="276" w:lineRule="auto"/>
              <w:ind w:left="709"/>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8B43F6">
              <w:rPr>
                <w:color w:val="000000" w:themeColor="text1"/>
                <w:sz w:val="18"/>
                <w:szCs w:val="18"/>
              </w:rPr>
              <w:t>5,000</w:t>
            </w:r>
          </w:p>
        </w:tc>
      </w:tr>
    </w:tbl>
    <w:p w:rsidR="005C43E9" w:rsidRPr="008B43F6" w:rsidRDefault="005C43E9" w:rsidP="00C12621">
      <w:pPr>
        <w:ind w:firstLine="708"/>
        <w:jc w:val="both"/>
        <w:rPr>
          <w:color w:val="000000" w:themeColor="text1"/>
          <w:sz w:val="18"/>
          <w:szCs w:val="18"/>
        </w:rPr>
      </w:pPr>
      <w:r w:rsidRPr="008B43F6">
        <w:rPr>
          <w:b/>
          <w:color w:val="000000" w:themeColor="text1"/>
          <w:sz w:val="18"/>
          <w:szCs w:val="18"/>
        </w:rPr>
        <w:t>Fuente:</w:t>
      </w:r>
      <w:r w:rsidRPr="008B43F6">
        <w:rPr>
          <w:color w:val="000000" w:themeColor="text1"/>
          <w:sz w:val="18"/>
          <w:szCs w:val="18"/>
        </w:rPr>
        <w:t xml:space="preserve"> </w:t>
      </w:r>
      <w:r w:rsidR="00034369" w:rsidRPr="008B43F6">
        <w:rPr>
          <w:color w:val="000000" w:themeColor="text1"/>
          <w:sz w:val="18"/>
          <w:szCs w:val="18"/>
        </w:rPr>
        <w:t>PROFECO,</w:t>
      </w:r>
      <w:r w:rsidRPr="008B43F6">
        <w:rPr>
          <w:color w:val="000000" w:themeColor="text1"/>
          <w:sz w:val="18"/>
          <w:szCs w:val="18"/>
        </w:rPr>
        <w:t xml:space="preserve"> CFE</w:t>
      </w:r>
      <w:r w:rsidR="00034369" w:rsidRPr="008B43F6">
        <w:rPr>
          <w:color w:val="000000" w:themeColor="text1"/>
          <w:sz w:val="18"/>
          <w:szCs w:val="18"/>
        </w:rPr>
        <w:t xml:space="preserve">  </w:t>
      </w:r>
      <w:r w:rsidR="00034369" w:rsidRPr="008B43F6">
        <w:rPr>
          <w:color w:val="000000" w:themeColor="text1"/>
          <w:sz w:val="18"/>
          <w:szCs w:val="18"/>
        </w:rPr>
        <w:fldChar w:fldCharType="begin"/>
      </w:r>
      <w:r w:rsidR="00034369" w:rsidRPr="008B43F6">
        <w:rPr>
          <w:color w:val="000000" w:themeColor="text1"/>
          <w:sz w:val="18"/>
          <w:szCs w:val="18"/>
        </w:rPr>
        <w:instrText xml:space="preserve"> ADDIN EN.CITE &lt;EndNote&gt;&lt;Cite&gt;&lt;Author&gt;PROFECO&lt;/Author&gt;&lt;RecNum&gt;93&lt;/RecNum&gt;&lt;DisplayText&gt;[24, 25]&lt;/DisplayText&gt;&lt;record&gt;&lt;rec-number&gt;93&lt;/rec-number&gt;&lt;foreign-keys&gt;&lt;key app="EN" db-id="w0w9edzzlxxfdgesvf359ft8wzxverspwaav"&gt;93&lt;/key&gt;&lt;/foreign-keys&gt;&lt;ref-type name="Web Page"&gt;12&lt;/ref-type&gt;&lt;contributors&gt;&lt;authors&gt;&lt;author&gt;PROFECO&lt;/author&gt;&lt;/authors&gt;&lt;/contributors&gt;&lt;titles&gt;&lt;title&gt;Procuraduría Federal del Consumidor&lt;/title&gt;&lt;/titles&gt;&lt;dates&gt;&lt;/dates&gt;&lt;pub-location&gt;México&lt;/pub-location&gt;&lt;urls&gt;&lt;related-urls&gt;&lt;url&gt;http://www.profeco.gob.mx/&lt;/url&gt;&lt;/related-urls&gt;&lt;/urls&gt;&lt;/record&gt;&lt;/Cite&gt;&lt;Cite&gt;&lt;Year&gt;2006&lt;/Year&gt;&lt;RecNum&gt;59&lt;/RecNum&gt;&lt;record&gt;&lt;rec-number&gt;59&lt;/rec-number&gt;&lt;foreign-keys&gt;&lt;key app="EN" db-id="w0w9edzzlxxfdgesvf359ft8wzxverspwaav"&gt;59&lt;/key&gt;&lt;/foreign-keys&gt;&lt;ref-type name="Government Document"&gt;46&lt;/ref-type&gt;&lt;contributors&gt;&lt;/contributors&gt;&lt;titles&gt;&lt;title&gt;Uso eficiente de la energía en la vivienda&lt;/title&gt;&lt;/titles&gt;&lt;dates&gt;&lt;year&gt;2006&lt;/year&gt;&lt;/dates&gt;&lt;urls&gt;&lt;/urls&gt;&lt;custom1&gt;Comisión Nacional de Fomento a la vivienda (CONAFOVI)&lt;/custom1&gt;&lt;/record&gt;&lt;/Cite&gt;&lt;/EndNote&gt;</w:instrText>
      </w:r>
      <w:r w:rsidR="00034369" w:rsidRPr="008B43F6">
        <w:rPr>
          <w:color w:val="000000" w:themeColor="text1"/>
          <w:sz w:val="18"/>
          <w:szCs w:val="18"/>
        </w:rPr>
        <w:fldChar w:fldCharType="separate"/>
      </w:r>
      <w:r w:rsidR="00034369" w:rsidRPr="008B43F6">
        <w:rPr>
          <w:noProof/>
          <w:color w:val="000000" w:themeColor="text1"/>
          <w:sz w:val="18"/>
          <w:szCs w:val="18"/>
        </w:rPr>
        <w:t>[</w:t>
      </w:r>
      <w:hyperlink w:anchor="_ENREF_24" w:tooltip=", 2006 #59" w:history="1">
        <w:r w:rsidR="00251C87" w:rsidRPr="008B43F6">
          <w:rPr>
            <w:noProof/>
            <w:color w:val="000000" w:themeColor="text1"/>
            <w:sz w:val="18"/>
            <w:szCs w:val="18"/>
          </w:rPr>
          <w:t>24</w:t>
        </w:r>
      </w:hyperlink>
      <w:r w:rsidR="00034369" w:rsidRPr="008B43F6">
        <w:rPr>
          <w:noProof/>
          <w:color w:val="000000" w:themeColor="text1"/>
          <w:sz w:val="18"/>
          <w:szCs w:val="18"/>
        </w:rPr>
        <w:t xml:space="preserve">, </w:t>
      </w:r>
      <w:hyperlink w:anchor="_ENREF_25" w:tooltip="PROFECO,  #93" w:history="1">
        <w:r w:rsidR="00251C87" w:rsidRPr="008B43F6">
          <w:rPr>
            <w:noProof/>
            <w:color w:val="000000" w:themeColor="text1"/>
            <w:sz w:val="18"/>
            <w:szCs w:val="18"/>
          </w:rPr>
          <w:t>25</w:t>
        </w:r>
      </w:hyperlink>
      <w:r w:rsidR="00034369" w:rsidRPr="008B43F6">
        <w:rPr>
          <w:noProof/>
          <w:color w:val="000000" w:themeColor="text1"/>
          <w:sz w:val="18"/>
          <w:szCs w:val="18"/>
        </w:rPr>
        <w:t>]</w:t>
      </w:r>
      <w:r w:rsidR="00034369" w:rsidRPr="008B43F6">
        <w:rPr>
          <w:color w:val="000000" w:themeColor="text1"/>
          <w:sz w:val="18"/>
          <w:szCs w:val="18"/>
        </w:rPr>
        <w:fldChar w:fldCharType="end"/>
      </w:r>
    </w:p>
    <w:p w:rsidR="005C43E9" w:rsidRPr="008B43F6" w:rsidRDefault="005C43E9" w:rsidP="00C12621">
      <w:pPr>
        <w:pStyle w:val="Prrafodelista"/>
        <w:numPr>
          <w:ilvl w:val="0"/>
          <w:numId w:val="8"/>
        </w:numPr>
        <w:jc w:val="both"/>
        <w:rPr>
          <w:b/>
          <w:color w:val="000000" w:themeColor="text1"/>
        </w:rPr>
      </w:pPr>
      <w:r w:rsidRPr="008B43F6">
        <w:rPr>
          <w:b/>
          <w:color w:val="000000" w:themeColor="text1"/>
        </w:rPr>
        <w:t xml:space="preserve"> </w:t>
      </w:r>
      <w:r w:rsidR="00EF0596" w:rsidRPr="008B43F6">
        <w:rPr>
          <w:b/>
          <w:color w:val="000000" w:themeColor="text1"/>
        </w:rPr>
        <w:t>C</w:t>
      </w:r>
      <w:r w:rsidRPr="008B43F6">
        <w:rPr>
          <w:b/>
          <w:color w:val="000000" w:themeColor="text1"/>
        </w:rPr>
        <w:t>alentamiento solar de agua</w:t>
      </w:r>
      <w:r w:rsidR="00EF0596" w:rsidRPr="008B43F6">
        <w:rPr>
          <w:color w:val="000000" w:themeColor="text1"/>
        </w:rPr>
        <w:t>.</w:t>
      </w:r>
      <w:r w:rsidRPr="008B43F6">
        <w:rPr>
          <w:color w:val="000000" w:themeColor="text1"/>
        </w:rPr>
        <w:t xml:space="preserve"> </w:t>
      </w:r>
      <w:r w:rsidR="00EF0596" w:rsidRPr="008B43F6">
        <w:rPr>
          <w:color w:val="000000" w:themeColor="text1"/>
        </w:rPr>
        <w:t>S</w:t>
      </w:r>
      <w:r w:rsidRPr="008B43F6">
        <w:rPr>
          <w:color w:val="000000" w:themeColor="text1"/>
        </w:rPr>
        <w:t xml:space="preserve">e considera la sustitución de un calentador de agua a gas, que consume en promedio por hogar de 4.2GJ/año y que tiene un costo promedio de $3,000 </w:t>
      </w:r>
      <w:r w:rsidRPr="008B43F6">
        <w:rPr>
          <w:color w:val="000000" w:themeColor="text1"/>
        </w:rPr>
        <w:fldChar w:fldCharType="begin"/>
      </w:r>
      <w:r w:rsidR="00251C87">
        <w:rPr>
          <w:color w:val="000000" w:themeColor="text1"/>
        </w:rPr>
        <w:instrText xml:space="preserve"> ADDIN EN.CITE &lt;EndNote&gt;&lt;Cite&gt;&lt;Author&gt;PROFECO&lt;/Author&gt;&lt;RecNum&gt;60&lt;/RecNum&gt;&lt;DisplayText&gt;[34]&lt;/DisplayText&gt;&lt;record&gt;&lt;rec-number&gt;60&lt;/rec-number&gt;&lt;foreign-keys&gt;&lt;key app="EN" db-id="w0w9edzzlxxfdgesvf359ft8wzxverspwaav"&gt;60&lt;/key&gt;&lt;/foreign-keys&gt;&lt;ref-type name="Web Page"&gt;12&lt;/ref-type&gt;&lt;contributors&gt;&lt;authors&gt;&lt;author&gt;PROFECO&lt;/author&gt;&lt;/authors&gt;&lt;/contributors&gt;&lt;titles&gt;&lt;title&gt;Brújula de compra: Calentadores de agua&lt;/title&gt;&lt;/titles&gt;&lt;dates&gt;&lt;/dates&gt;&lt;urls&gt;&lt;related-urls&gt;&lt;url&gt;http://www.profeco.gob.mx/encuesta/brujula/bruj_2006/bol27_calentadores.asp&lt;/url&gt;&lt;/related-urls&gt;&lt;/urls&gt;&lt;/record&gt;&lt;/Cite&gt;&lt;/EndNote&gt;</w:instrText>
      </w:r>
      <w:r w:rsidRPr="008B43F6">
        <w:rPr>
          <w:color w:val="000000" w:themeColor="text1"/>
        </w:rPr>
        <w:fldChar w:fldCharType="separate"/>
      </w:r>
      <w:r w:rsidR="00251C87">
        <w:rPr>
          <w:noProof/>
          <w:color w:val="000000" w:themeColor="text1"/>
        </w:rPr>
        <w:t>[</w:t>
      </w:r>
      <w:hyperlink w:anchor="_ENREF_34" w:tooltip="PROFECO,  #60" w:history="1">
        <w:r w:rsidR="00251C87">
          <w:rPr>
            <w:noProof/>
            <w:color w:val="000000" w:themeColor="text1"/>
          </w:rPr>
          <w:t>34</w:t>
        </w:r>
      </w:hyperlink>
      <w:r w:rsidR="00251C87">
        <w:rPr>
          <w:noProof/>
          <w:color w:val="000000" w:themeColor="text1"/>
        </w:rPr>
        <w:t>]</w:t>
      </w:r>
      <w:r w:rsidRPr="008B43F6">
        <w:rPr>
          <w:color w:val="000000" w:themeColor="text1"/>
        </w:rPr>
        <w:fldChar w:fldCharType="end"/>
      </w:r>
      <w:r w:rsidRPr="008B43F6">
        <w:rPr>
          <w:color w:val="000000" w:themeColor="text1"/>
        </w:rPr>
        <w:t xml:space="preserve"> por un calentador de agua de 2 metros cuadrados, que no tienen ningún consumo energético y que tiene un precio promedio con colocación de $8,000.</w:t>
      </w:r>
    </w:p>
    <w:p w:rsidR="007D708F" w:rsidRPr="008B43F6" w:rsidRDefault="007D708F" w:rsidP="00C12621">
      <w:pPr>
        <w:pStyle w:val="Prrafodelista"/>
        <w:ind w:left="360"/>
        <w:jc w:val="both"/>
        <w:rPr>
          <w:b/>
          <w:color w:val="000000" w:themeColor="text1"/>
        </w:rPr>
      </w:pPr>
    </w:p>
    <w:p w:rsidR="004E4DE8" w:rsidRPr="008B43F6" w:rsidRDefault="001C1A21" w:rsidP="00C12621">
      <w:pPr>
        <w:pStyle w:val="Prrafodelista"/>
        <w:numPr>
          <w:ilvl w:val="0"/>
          <w:numId w:val="8"/>
        </w:numPr>
        <w:jc w:val="both"/>
        <w:rPr>
          <w:color w:val="000000" w:themeColor="text1"/>
        </w:rPr>
      </w:pPr>
      <w:r w:rsidRPr="008B43F6">
        <w:rPr>
          <w:b/>
          <w:color w:val="000000" w:themeColor="text1"/>
        </w:rPr>
        <w:t>A</w:t>
      </w:r>
      <w:r w:rsidR="005C43E9" w:rsidRPr="008B43F6">
        <w:rPr>
          <w:b/>
          <w:color w:val="000000" w:themeColor="text1"/>
        </w:rPr>
        <w:t>islamiento térmico</w:t>
      </w:r>
      <w:r w:rsidRPr="008B43F6">
        <w:rPr>
          <w:b/>
          <w:color w:val="000000" w:themeColor="text1"/>
        </w:rPr>
        <w:t>.</w:t>
      </w:r>
      <w:r w:rsidR="005C43E9" w:rsidRPr="008B43F6">
        <w:rPr>
          <w:color w:val="000000" w:themeColor="text1"/>
        </w:rPr>
        <w:t xml:space="preserve"> </w:t>
      </w:r>
      <w:r w:rsidRPr="008B43F6">
        <w:rPr>
          <w:color w:val="000000" w:themeColor="text1"/>
        </w:rPr>
        <w:t>S</w:t>
      </w:r>
      <w:r w:rsidR="005C43E9" w:rsidRPr="008B43F6">
        <w:rPr>
          <w:color w:val="000000" w:themeColor="text1"/>
        </w:rPr>
        <w:t>e considera que</w:t>
      </w:r>
      <w:r w:rsidR="007D3F5F" w:rsidRPr="008B43F6">
        <w:rPr>
          <w:color w:val="000000" w:themeColor="text1"/>
        </w:rPr>
        <w:t>,</w:t>
      </w:r>
      <w:r w:rsidR="005C43E9" w:rsidRPr="008B43F6">
        <w:rPr>
          <w:color w:val="000000" w:themeColor="text1"/>
        </w:rPr>
        <w:t xml:space="preserve"> en los hogares de las regiones 1A, 1B, 1C, 1D, 1E y 1F, la colocación de aislante térmico en la vivienda, de lo cual se obtiene un ahorro energía de entre el 20 y el 40%</w:t>
      </w:r>
      <w:r w:rsidR="00034369" w:rsidRPr="008B43F6">
        <w:rPr>
          <w:color w:val="000000" w:themeColor="text1"/>
        </w:rPr>
        <w:t xml:space="preserve"> </w:t>
      </w:r>
      <w:r w:rsidR="00034369" w:rsidRPr="008B43F6">
        <w:rPr>
          <w:color w:val="000000" w:themeColor="text1"/>
        </w:rPr>
        <w:fldChar w:fldCharType="begin"/>
      </w:r>
      <w:r w:rsidR="00251C87">
        <w:rPr>
          <w:color w:val="000000" w:themeColor="text1"/>
        </w:rPr>
        <w:instrText xml:space="preserve"> ADDIN EN.CITE &lt;EndNote&gt;&lt;Cite&gt;&lt;Author&gt;FIDE&lt;/Author&gt;&lt;Year&gt;2011&lt;/Year&gt;&lt;RecNum&gt;105&lt;/RecNum&gt;&lt;DisplayText&gt;[35]&lt;/DisplayText&gt;&lt;record&gt;&lt;rec-number&gt;105&lt;/rec-number&gt;&lt;foreign-keys&gt;&lt;key app="EN" db-id="w0w9edzzlxxfdgesvf359ft8wzxverspwaav"&gt;105&lt;/key&gt;&lt;/foreign-keys&gt;&lt;ref-type name="Report"&gt;27&lt;/ref-type&gt;&lt;contributors&gt;&lt;authors&gt;&lt;author&gt;FIDE&lt;/author&gt;&lt;/authors&gt;&lt;/contributors&gt;&lt;titles&gt;&lt;title&gt;Programa de Ahorro de Energía en el Sector Doméstico: Fideicomiso para el aislamiento térmico de la vivienda (FIPATERM) &lt;/title&gt;&lt;/titles&gt;&lt;dates&gt;&lt;year&gt;2011&lt;/year&gt;&lt;/dates&gt;&lt;pub-location&gt;México&lt;/pub-location&gt;&lt;publisher&gt;Fideicomiso para el Ahorro de Energía Eléctrica&lt;/publisher&gt;&lt;urls&gt;&lt;related-urls&gt;&lt;url&gt;http://www.energiabc.gob.mx/files/public/downloads/Energia%20Renovable%20Residencial/Programas%20de%20Ahorro%20de%20Energia.pdf&lt;/url&gt;&lt;/related-urls&gt;&lt;/urls&gt;&lt;/record&gt;&lt;/Cite&gt;&lt;/EndNote&gt;</w:instrText>
      </w:r>
      <w:r w:rsidR="00034369" w:rsidRPr="008B43F6">
        <w:rPr>
          <w:color w:val="000000" w:themeColor="text1"/>
        </w:rPr>
        <w:fldChar w:fldCharType="separate"/>
      </w:r>
      <w:r w:rsidR="00251C87">
        <w:rPr>
          <w:noProof/>
          <w:color w:val="000000" w:themeColor="text1"/>
        </w:rPr>
        <w:t>[</w:t>
      </w:r>
      <w:hyperlink w:anchor="_ENREF_35" w:tooltip="FIDE, 2011 #105" w:history="1">
        <w:r w:rsidR="00251C87">
          <w:rPr>
            <w:noProof/>
            <w:color w:val="000000" w:themeColor="text1"/>
          </w:rPr>
          <w:t>35</w:t>
        </w:r>
      </w:hyperlink>
      <w:r w:rsidR="00251C87">
        <w:rPr>
          <w:noProof/>
          <w:color w:val="000000" w:themeColor="text1"/>
        </w:rPr>
        <w:t>]</w:t>
      </w:r>
      <w:r w:rsidR="00034369" w:rsidRPr="008B43F6">
        <w:rPr>
          <w:color w:val="000000" w:themeColor="text1"/>
        </w:rPr>
        <w:fldChar w:fldCharType="end"/>
      </w:r>
      <w:r w:rsidR="005C43E9" w:rsidRPr="008B43F6">
        <w:rPr>
          <w:color w:val="000000" w:themeColor="text1"/>
        </w:rPr>
        <w:t>.</w:t>
      </w:r>
      <w:r w:rsidR="0019404F" w:rsidRPr="008B43F6">
        <w:rPr>
          <w:color w:val="000000" w:themeColor="text1"/>
        </w:rPr>
        <w:t xml:space="preserve"> S</w:t>
      </w:r>
      <w:r w:rsidR="005C43E9" w:rsidRPr="008B43F6">
        <w:rPr>
          <w:color w:val="000000" w:themeColor="text1"/>
        </w:rPr>
        <w:t xml:space="preserve">egún precios obtenidos de la </w:t>
      </w:r>
      <w:r w:rsidR="00034369" w:rsidRPr="008B43F6">
        <w:rPr>
          <w:color w:val="000000" w:themeColor="text1"/>
        </w:rPr>
        <w:t xml:space="preserve">Procuraduría Federal del Consumidor </w:t>
      </w:r>
      <w:r w:rsidR="00034369" w:rsidRPr="008B43F6">
        <w:rPr>
          <w:color w:val="000000" w:themeColor="text1"/>
        </w:rPr>
        <w:lastRenderedPageBreak/>
        <w:t>(</w:t>
      </w:r>
      <w:r w:rsidR="005C43E9" w:rsidRPr="008B43F6">
        <w:rPr>
          <w:color w:val="000000" w:themeColor="text1"/>
        </w:rPr>
        <w:t>PROFECO</w:t>
      </w:r>
      <w:r w:rsidR="00034369" w:rsidRPr="008B43F6">
        <w:rPr>
          <w:color w:val="000000" w:themeColor="text1"/>
        </w:rPr>
        <w:t>)</w:t>
      </w:r>
      <w:r w:rsidR="005C43E9" w:rsidRPr="008B43F6">
        <w:rPr>
          <w:color w:val="000000" w:themeColor="text1"/>
        </w:rPr>
        <w:t xml:space="preserve"> la colocación </w:t>
      </w:r>
      <w:r w:rsidR="0019404F" w:rsidRPr="008B43F6">
        <w:rPr>
          <w:color w:val="000000" w:themeColor="text1"/>
        </w:rPr>
        <w:t xml:space="preserve">de aislante térmico </w:t>
      </w:r>
      <w:r w:rsidR="005C43E9" w:rsidRPr="008B43F6">
        <w:rPr>
          <w:color w:val="000000" w:themeColor="text1"/>
        </w:rPr>
        <w:t>incluyendo el material por metro cuadrado de ais</w:t>
      </w:r>
      <w:r w:rsidRPr="008B43F6">
        <w:rPr>
          <w:color w:val="000000" w:themeColor="text1"/>
        </w:rPr>
        <w:t>lante es en promedio de $300.00</w:t>
      </w:r>
      <w:r w:rsidR="007D708F" w:rsidRPr="008B43F6">
        <w:rPr>
          <w:color w:val="000000" w:themeColor="text1"/>
        </w:rPr>
        <w:t>.</w:t>
      </w:r>
    </w:p>
    <w:p w:rsidR="004E4DE8" w:rsidRPr="008B43F6" w:rsidRDefault="004E4DE8" w:rsidP="00C12621">
      <w:pPr>
        <w:pStyle w:val="Prrafodelista"/>
        <w:jc w:val="both"/>
        <w:rPr>
          <w:color w:val="000000" w:themeColor="text1"/>
        </w:rPr>
      </w:pPr>
    </w:p>
    <w:p w:rsidR="00F31614" w:rsidRPr="00A3212E" w:rsidRDefault="0019404F" w:rsidP="00C12621">
      <w:pPr>
        <w:pStyle w:val="Prrafodelista"/>
        <w:numPr>
          <w:ilvl w:val="0"/>
          <w:numId w:val="8"/>
        </w:numPr>
        <w:jc w:val="both"/>
        <w:rPr>
          <w:b/>
          <w:color w:val="000000" w:themeColor="text1"/>
        </w:rPr>
      </w:pPr>
      <w:r w:rsidRPr="008B43F6">
        <w:rPr>
          <w:b/>
        </w:rPr>
        <w:t>Tamaño y alcance de un posible programa</w:t>
      </w:r>
      <w:r w:rsidR="001C1A21" w:rsidRPr="008B43F6">
        <w:rPr>
          <w:b/>
        </w:rPr>
        <w:t xml:space="preserve">. </w:t>
      </w:r>
      <w:r w:rsidR="00F31614" w:rsidRPr="008B43F6">
        <w:rPr>
          <w:color w:val="000000" w:themeColor="text1"/>
        </w:rPr>
        <w:t>Tomando en cuenta que el crecimiento de las viviendas en México en los próximos 10 años, ascenderá los 8 millones de vivienda nueva.  Se propone un programa de vivienda sustentable para vivienda nue</w:t>
      </w:r>
      <w:r w:rsidRPr="008B43F6">
        <w:rPr>
          <w:color w:val="000000" w:themeColor="text1"/>
        </w:rPr>
        <w:t xml:space="preserve">va en tres distintos </w:t>
      </w:r>
      <w:r w:rsidR="00BF0BE8" w:rsidRPr="008B43F6">
        <w:rPr>
          <w:color w:val="000000" w:themeColor="text1"/>
        </w:rPr>
        <w:t>Escenario</w:t>
      </w:r>
      <w:r w:rsidRPr="008B43F6">
        <w:rPr>
          <w:color w:val="000000" w:themeColor="text1"/>
        </w:rPr>
        <w:t>s a lo largo de seis años:</w:t>
      </w:r>
    </w:p>
    <w:p w:rsidR="00A3212E" w:rsidRPr="00A3212E" w:rsidRDefault="00A3212E" w:rsidP="00C12621">
      <w:pPr>
        <w:pStyle w:val="Prrafodelista"/>
        <w:jc w:val="both"/>
        <w:rPr>
          <w:b/>
          <w:color w:val="000000" w:themeColor="text1"/>
        </w:rPr>
      </w:pPr>
    </w:p>
    <w:p w:rsidR="00A3212E" w:rsidRPr="008B43F6" w:rsidRDefault="00A3212E" w:rsidP="00C12621">
      <w:pPr>
        <w:pStyle w:val="Prrafodelista"/>
        <w:ind w:left="360"/>
        <w:jc w:val="both"/>
        <w:rPr>
          <w:b/>
          <w:color w:val="000000" w:themeColor="text1"/>
        </w:rPr>
      </w:pPr>
    </w:p>
    <w:p w:rsidR="008B43F6" w:rsidRPr="008B43F6" w:rsidRDefault="00220C19" w:rsidP="00C12621">
      <w:pPr>
        <w:pStyle w:val="Prrafodelista"/>
        <w:numPr>
          <w:ilvl w:val="0"/>
          <w:numId w:val="45"/>
        </w:numPr>
        <w:jc w:val="both"/>
        <w:rPr>
          <w:color w:val="000000" w:themeColor="text1"/>
        </w:rPr>
      </w:pPr>
      <w:r w:rsidRPr="008B43F6">
        <w:rPr>
          <w:b/>
          <w:color w:val="000000" w:themeColor="text1"/>
        </w:rPr>
        <w:t>Escenario 1</w:t>
      </w:r>
      <w:r w:rsidRPr="008B43F6">
        <w:rPr>
          <w:color w:val="000000" w:themeColor="text1"/>
        </w:rPr>
        <w:t>. Un</w:t>
      </w:r>
      <w:r w:rsidR="0019404F" w:rsidRPr="008B43F6">
        <w:rPr>
          <w:color w:val="000000" w:themeColor="text1"/>
        </w:rPr>
        <w:t xml:space="preserve"> millón de hogares</w:t>
      </w:r>
      <w:r w:rsidR="00DA2B1E" w:rsidRPr="008B43F6">
        <w:rPr>
          <w:color w:val="000000" w:themeColor="text1"/>
        </w:rPr>
        <w:t xml:space="preserve"> </w:t>
      </w:r>
    </w:p>
    <w:p w:rsidR="008B43F6" w:rsidRPr="008B43F6" w:rsidRDefault="00220C19" w:rsidP="00C12621">
      <w:pPr>
        <w:pStyle w:val="Prrafodelista"/>
        <w:numPr>
          <w:ilvl w:val="0"/>
          <w:numId w:val="45"/>
        </w:numPr>
        <w:jc w:val="both"/>
        <w:rPr>
          <w:color w:val="000000" w:themeColor="text1"/>
        </w:rPr>
      </w:pPr>
      <w:r w:rsidRPr="008B43F6">
        <w:rPr>
          <w:b/>
          <w:color w:val="000000" w:themeColor="text1"/>
        </w:rPr>
        <w:t>Escenario 2.</w:t>
      </w:r>
      <w:r w:rsidRPr="008B43F6">
        <w:rPr>
          <w:color w:val="000000" w:themeColor="text1"/>
        </w:rPr>
        <w:t xml:space="preserve"> </w:t>
      </w:r>
      <w:r w:rsidR="0019404F" w:rsidRPr="008B43F6">
        <w:rPr>
          <w:color w:val="000000" w:themeColor="text1"/>
        </w:rPr>
        <w:t>1.5 millones de hogares</w:t>
      </w:r>
      <w:r w:rsidR="00DA2B1E" w:rsidRPr="008B43F6">
        <w:rPr>
          <w:color w:val="000000" w:themeColor="text1"/>
        </w:rPr>
        <w:t xml:space="preserve"> </w:t>
      </w:r>
    </w:p>
    <w:p w:rsidR="007D708F" w:rsidRPr="008B43F6" w:rsidRDefault="00220C19" w:rsidP="00C12621">
      <w:pPr>
        <w:pStyle w:val="Prrafodelista"/>
        <w:numPr>
          <w:ilvl w:val="0"/>
          <w:numId w:val="45"/>
        </w:numPr>
        <w:jc w:val="both"/>
        <w:rPr>
          <w:color w:val="000000" w:themeColor="text1"/>
        </w:rPr>
      </w:pPr>
      <w:r w:rsidRPr="008B43F6">
        <w:rPr>
          <w:b/>
          <w:color w:val="000000" w:themeColor="text1"/>
        </w:rPr>
        <w:t>Escenario 3.</w:t>
      </w:r>
      <w:r w:rsidRPr="008B43F6">
        <w:rPr>
          <w:color w:val="000000" w:themeColor="text1"/>
        </w:rPr>
        <w:t xml:space="preserve"> </w:t>
      </w:r>
      <w:r w:rsidR="0019404F" w:rsidRPr="008B43F6">
        <w:rPr>
          <w:color w:val="000000" w:themeColor="text1"/>
        </w:rPr>
        <w:t>3 millones de hogares</w:t>
      </w:r>
      <w:r w:rsidR="00DA2B1E" w:rsidRPr="008B43F6">
        <w:rPr>
          <w:color w:val="000000" w:themeColor="text1"/>
        </w:rPr>
        <w:t xml:space="preserve"> </w:t>
      </w:r>
    </w:p>
    <w:p w:rsidR="007D708F" w:rsidRPr="008B43F6" w:rsidRDefault="007D708F" w:rsidP="00C12621">
      <w:pPr>
        <w:pStyle w:val="Prrafodelista"/>
        <w:jc w:val="both"/>
        <w:rPr>
          <w:color w:val="000000" w:themeColor="text1"/>
        </w:rPr>
      </w:pPr>
    </w:p>
    <w:p w:rsidR="00F31614" w:rsidRPr="008B43F6" w:rsidRDefault="005C7E01" w:rsidP="00C12621">
      <w:pPr>
        <w:pStyle w:val="Prrafodelista"/>
        <w:numPr>
          <w:ilvl w:val="0"/>
          <w:numId w:val="8"/>
        </w:numPr>
        <w:jc w:val="both"/>
        <w:rPr>
          <w:color w:val="000000" w:themeColor="text1"/>
        </w:rPr>
      </w:pPr>
      <w:r w:rsidRPr="008B43F6">
        <w:rPr>
          <w:b/>
          <w:color w:val="000000" w:themeColor="text1"/>
        </w:rPr>
        <w:t>Nivel social</w:t>
      </w:r>
      <w:r w:rsidR="007D708F" w:rsidRPr="008B43F6">
        <w:rPr>
          <w:b/>
          <w:color w:val="000000" w:themeColor="text1"/>
        </w:rPr>
        <w:t xml:space="preserve"> de los participantes. </w:t>
      </w:r>
      <w:r w:rsidR="00220C19" w:rsidRPr="008B43F6">
        <w:rPr>
          <w:color w:val="000000" w:themeColor="text1"/>
        </w:rPr>
        <w:t>Para los propósitos de la estimación, solo se consideran dentro de los programas de vivienda a hogares en los</w:t>
      </w:r>
      <w:r w:rsidR="0019404F" w:rsidRPr="008B43F6">
        <w:rPr>
          <w:color w:val="000000" w:themeColor="text1"/>
        </w:rPr>
        <w:t xml:space="preserve"> deciles III, IV, V y VI </w:t>
      </w:r>
      <w:r w:rsidR="007D708F" w:rsidRPr="008B43F6">
        <w:rPr>
          <w:color w:val="000000" w:themeColor="text1"/>
        </w:rPr>
        <w:t xml:space="preserve">distribuidas </w:t>
      </w:r>
      <w:r w:rsidR="00817EA0" w:rsidRPr="008B43F6">
        <w:rPr>
          <w:color w:val="000000" w:themeColor="text1"/>
        </w:rPr>
        <w:t xml:space="preserve">en las regiones arriba definidas </w:t>
      </w:r>
      <w:r w:rsidR="007D708F" w:rsidRPr="008B43F6">
        <w:rPr>
          <w:color w:val="000000" w:themeColor="text1"/>
        </w:rPr>
        <w:t xml:space="preserve">como se muestra en la Tabla </w:t>
      </w:r>
      <w:r w:rsidR="00E75797" w:rsidRPr="008B43F6">
        <w:rPr>
          <w:color w:val="000000" w:themeColor="text1"/>
        </w:rPr>
        <w:t>5</w:t>
      </w:r>
      <w:r w:rsidR="00BF0BE8" w:rsidRPr="008B43F6">
        <w:rPr>
          <w:color w:val="000000" w:themeColor="text1"/>
        </w:rPr>
        <w:t>.2</w:t>
      </w:r>
      <w:r w:rsidR="00E75797" w:rsidRPr="008B43F6">
        <w:rPr>
          <w:color w:val="000000" w:themeColor="text1"/>
        </w:rPr>
        <w:t>.</w:t>
      </w:r>
    </w:p>
    <w:p w:rsidR="0019404F" w:rsidRPr="008B43F6" w:rsidRDefault="0019404F" w:rsidP="00C12621">
      <w:pPr>
        <w:spacing w:after="0"/>
        <w:jc w:val="both"/>
        <w:rPr>
          <w:sz w:val="18"/>
          <w:szCs w:val="18"/>
        </w:rPr>
      </w:pPr>
      <w:r w:rsidRPr="008B43F6">
        <w:rPr>
          <w:b/>
          <w:sz w:val="18"/>
          <w:szCs w:val="18"/>
        </w:rPr>
        <w:t xml:space="preserve">Tabla </w:t>
      </w:r>
      <w:r w:rsidR="00165CC7" w:rsidRPr="008B43F6">
        <w:rPr>
          <w:b/>
          <w:sz w:val="18"/>
          <w:szCs w:val="18"/>
        </w:rPr>
        <w:t>5.2</w:t>
      </w:r>
      <w:r w:rsidRPr="008B43F6">
        <w:rPr>
          <w:sz w:val="18"/>
          <w:szCs w:val="18"/>
        </w:rPr>
        <w:t xml:space="preserve"> </w:t>
      </w:r>
      <w:r w:rsidR="00BF0BE8" w:rsidRPr="008B43F6">
        <w:rPr>
          <w:sz w:val="18"/>
          <w:szCs w:val="18"/>
        </w:rPr>
        <w:t>Escenario</w:t>
      </w:r>
      <w:r w:rsidRPr="008B43F6">
        <w:rPr>
          <w:sz w:val="18"/>
          <w:szCs w:val="18"/>
        </w:rPr>
        <w:t>s del programa de vivienda sustentable</w:t>
      </w:r>
    </w:p>
    <w:tbl>
      <w:tblPr>
        <w:tblStyle w:val="Listaclara-nfasis1"/>
        <w:tblW w:w="8147" w:type="dxa"/>
        <w:tblLook w:val="04A0" w:firstRow="1" w:lastRow="0" w:firstColumn="1" w:lastColumn="0" w:noHBand="0" w:noVBand="1"/>
      </w:tblPr>
      <w:tblGrid>
        <w:gridCol w:w="1303"/>
        <w:gridCol w:w="1404"/>
        <w:gridCol w:w="1452"/>
        <w:gridCol w:w="997"/>
        <w:gridCol w:w="997"/>
        <w:gridCol w:w="997"/>
        <w:gridCol w:w="997"/>
      </w:tblGrid>
      <w:tr w:rsidR="0019404F" w:rsidRPr="008B43F6" w:rsidTr="00BF0BE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3"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9404F" w:rsidRPr="008B43F6" w:rsidRDefault="00BF0BE8" w:rsidP="00C12621">
            <w:pPr>
              <w:spacing w:line="276" w:lineRule="auto"/>
              <w:ind w:left="371"/>
              <w:jc w:val="both"/>
              <w:rPr>
                <w:rFonts w:eastAsia="Times New Roman" w:cs="Times New Roman"/>
                <w:sz w:val="18"/>
                <w:szCs w:val="18"/>
                <w:lang w:eastAsia="es-MX"/>
              </w:rPr>
            </w:pPr>
            <w:r w:rsidRPr="008B43F6">
              <w:rPr>
                <w:rFonts w:eastAsia="Times New Roman" w:cs="Times New Roman"/>
                <w:sz w:val="18"/>
                <w:szCs w:val="18"/>
                <w:lang w:eastAsia="es-MX"/>
              </w:rPr>
              <w:t>Escenario</w:t>
            </w:r>
          </w:p>
        </w:tc>
        <w:tc>
          <w:tcPr>
            <w:tcW w:w="140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9404F" w:rsidRPr="008B43F6" w:rsidRDefault="0019404F" w:rsidP="00C12621">
            <w:pPr>
              <w:spacing w:line="276" w:lineRule="auto"/>
              <w:ind w:left="371"/>
              <w:jc w:val="both"/>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8B43F6">
              <w:rPr>
                <w:rFonts w:eastAsia="Times New Roman" w:cs="Times New Roman"/>
                <w:sz w:val="18"/>
                <w:szCs w:val="18"/>
                <w:lang w:eastAsia="es-MX"/>
              </w:rPr>
              <w:t>Región</w:t>
            </w:r>
          </w:p>
        </w:tc>
        <w:tc>
          <w:tcPr>
            <w:tcW w:w="1452"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9404F" w:rsidRPr="008B43F6" w:rsidRDefault="0019404F" w:rsidP="00C12621">
            <w:pPr>
              <w:spacing w:line="276" w:lineRule="auto"/>
              <w:ind w:left="371"/>
              <w:jc w:val="both"/>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8B43F6">
              <w:rPr>
                <w:rFonts w:eastAsia="Times New Roman" w:cs="Times New Roman"/>
                <w:sz w:val="18"/>
                <w:szCs w:val="18"/>
                <w:lang w:eastAsia="es-MX"/>
              </w:rPr>
              <w:t>No. de viviendas eficientes construidas</w:t>
            </w:r>
          </w:p>
        </w:tc>
        <w:tc>
          <w:tcPr>
            <w:tcW w:w="398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9404F" w:rsidRPr="008B43F6" w:rsidRDefault="0019404F" w:rsidP="00C12621">
            <w:pPr>
              <w:spacing w:line="276" w:lineRule="auto"/>
              <w:ind w:left="371"/>
              <w:jc w:val="both"/>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8B43F6">
              <w:rPr>
                <w:rFonts w:eastAsia="Times New Roman" w:cs="Times New Roman"/>
                <w:sz w:val="18"/>
                <w:szCs w:val="18"/>
                <w:lang w:eastAsia="es-MX"/>
              </w:rPr>
              <w:t xml:space="preserve">Distribución de viviendas construidas por deciles según ingreso </w:t>
            </w:r>
          </w:p>
        </w:tc>
      </w:tr>
      <w:tr w:rsidR="00785D64" w:rsidRPr="008B43F6" w:rsidTr="00BF0B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3"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F81BD" w:themeFill="accent1"/>
          </w:tcPr>
          <w:p w:rsidR="0019404F" w:rsidRPr="008B43F6" w:rsidRDefault="0019404F" w:rsidP="00C12621">
            <w:pPr>
              <w:spacing w:line="276" w:lineRule="auto"/>
              <w:ind w:left="371"/>
              <w:jc w:val="both"/>
              <w:rPr>
                <w:rFonts w:eastAsia="Times New Roman" w:cs="Times New Roman"/>
                <w:b w:val="0"/>
                <w:color w:val="FFFFFF" w:themeColor="background1"/>
                <w:sz w:val="18"/>
                <w:szCs w:val="18"/>
                <w:lang w:eastAsia="es-MX"/>
              </w:rPr>
            </w:pPr>
          </w:p>
        </w:tc>
        <w:tc>
          <w:tcPr>
            <w:tcW w:w="140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F81BD" w:themeFill="accent1"/>
          </w:tcPr>
          <w:p w:rsidR="0019404F" w:rsidRPr="008B43F6" w:rsidRDefault="0019404F" w:rsidP="00C12621">
            <w:pPr>
              <w:spacing w:line="276" w:lineRule="auto"/>
              <w:ind w:left="371"/>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color w:val="FFFFFF" w:themeColor="background1"/>
                <w:sz w:val="18"/>
                <w:szCs w:val="18"/>
                <w:lang w:eastAsia="es-MX"/>
              </w:rPr>
            </w:pPr>
          </w:p>
        </w:tc>
        <w:tc>
          <w:tcPr>
            <w:tcW w:w="1452"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F81BD" w:themeFill="accent1"/>
          </w:tcPr>
          <w:p w:rsidR="0019404F" w:rsidRPr="008B43F6" w:rsidRDefault="0019404F" w:rsidP="00C12621">
            <w:pPr>
              <w:spacing w:line="276" w:lineRule="auto"/>
              <w:ind w:left="371"/>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color w:val="FFFFFF" w:themeColor="background1"/>
                <w:sz w:val="18"/>
                <w:szCs w:val="18"/>
                <w:lang w:eastAsia="es-MX"/>
              </w:rPr>
            </w:pP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F81BD" w:themeFill="accent1"/>
          </w:tcPr>
          <w:p w:rsidR="0019404F" w:rsidRPr="008B43F6" w:rsidRDefault="0019404F" w:rsidP="00C12621">
            <w:pPr>
              <w:spacing w:line="276" w:lineRule="auto"/>
              <w:ind w:left="371"/>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color w:val="FFFFFF" w:themeColor="background1"/>
                <w:sz w:val="18"/>
                <w:szCs w:val="18"/>
                <w:lang w:eastAsia="es-MX"/>
              </w:rPr>
            </w:pPr>
            <w:r w:rsidRPr="008B43F6">
              <w:rPr>
                <w:rFonts w:eastAsia="Times New Roman" w:cs="Times New Roman"/>
                <w:b/>
                <w:color w:val="FFFFFF" w:themeColor="background1"/>
                <w:sz w:val="18"/>
                <w:szCs w:val="18"/>
                <w:lang w:eastAsia="es-MX"/>
              </w:rPr>
              <w:t>III</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F81BD" w:themeFill="accent1"/>
          </w:tcPr>
          <w:p w:rsidR="0019404F" w:rsidRPr="008B43F6" w:rsidRDefault="0019404F" w:rsidP="00C12621">
            <w:pPr>
              <w:spacing w:line="276" w:lineRule="auto"/>
              <w:ind w:left="371"/>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color w:val="FFFFFF" w:themeColor="background1"/>
                <w:sz w:val="18"/>
                <w:szCs w:val="18"/>
                <w:lang w:eastAsia="es-MX"/>
              </w:rPr>
            </w:pPr>
            <w:r w:rsidRPr="008B43F6">
              <w:rPr>
                <w:rFonts w:eastAsia="Times New Roman" w:cs="Times New Roman"/>
                <w:b/>
                <w:color w:val="FFFFFF" w:themeColor="background1"/>
                <w:sz w:val="18"/>
                <w:szCs w:val="18"/>
                <w:lang w:eastAsia="es-MX"/>
              </w:rPr>
              <w:t>IV</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F81BD" w:themeFill="accent1"/>
          </w:tcPr>
          <w:p w:rsidR="0019404F" w:rsidRPr="008B43F6" w:rsidRDefault="0019404F" w:rsidP="00C12621">
            <w:pPr>
              <w:spacing w:line="276" w:lineRule="auto"/>
              <w:ind w:left="371"/>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color w:val="FFFFFF" w:themeColor="background1"/>
                <w:sz w:val="18"/>
                <w:szCs w:val="18"/>
                <w:lang w:eastAsia="es-MX"/>
              </w:rPr>
            </w:pPr>
            <w:r w:rsidRPr="008B43F6">
              <w:rPr>
                <w:rFonts w:eastAsia="Times New Roman" w:cs="Times New Roman"/>
                <w:b/>
                <w:color w:val="FFFFFF" w:themeColor="background1"/>
                <w:sz w:val="18"/>
                <w:szCs w:val="18"/>
                <w:lang w:eastAsia="es-MX"/>
              </w:rPr>
              <w:t>V</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F81BD" w:themeFill="accent1"/>
          </w:tcPr>
          <w:p w:rsidR="0019404F" w:rsidRPr="008B43F6" w:rsidRDefault="0019404F" w:rsidP="00C12621">
            <w:pPr>
              <w:spacing w:line="276" w:lineRule="auto"/>
              <w:ind w:left="371"/>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color w:val="FFFFFF" w:themeColor="background1"/>
                <w:sz w:val="18"/>
                <w:szCs w:val="18"/>
                <w:lang w:eastAsia="es-MX"/>
              </w:rPr>
            </w:pPr>
            <w:r w:rsidRPr="008B43F6">
              <w:rPr>
                <w:rFonts w:eastAsia="Times New Roman" w:cs="Times New Roman"/>
                <w:b/>
                <w:color w:val="FFFFFF" w:themeColor="background1"/>
                <w:sz w:val="18"/>
                <w:szCs w:val="18"/>
                <w:lang w:eastAsia="es-MX"/>
              </w:rPr>
              <w:t>VI</w:t>
            </w:r>
          </w:p>
        </w:tc>
      </w:tr>
      <w:tr w:rsidR="00785D64" w:rsidRPr="008B43F6" w:rsidTr="00BF0BE8">
        <w:trPr>
          <w:trHeight w:val="48"/>
        </w:trPr>
        <w:tc>
          <w:tcPr>
            <w:cnfStyle w:val="001000000000" w:firstRow="0" w:lastRow="0" w:firstColumn="1" w:lastColumn="0" w:oddVBand="0" w:evenVBand="0" w:oddHBand="0" w:evenHBand="0" w:firstRowFirstColumn="0" w:firstRowLastColumn="0" w:lastRowFirstColumn="0" w:lastRowLastColumn="0"/>
            <w:tcW w:w="1303"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ind w:left="371"/>
              <w:jc w:val="both"/>
              <w:rPr>
                <w:rFonts w:eastAsia="Times New Roman" w:cs="Times New Roman"/>
                <w:color w:val="000000"/>
                <w:sz w:val="18"/>
                <w:szCs w:val="18"/>
                <w:lang w:eastAsia="es-MX"/>
              </w:rPr>
            </w:pPr>
            <w:r w:rsidRPr="008B43F6">
              <w:rPr>
                <w:rFonts w:eastAsia="Times New Roman" w:cs="Times New Roman"/>
                <w:color w:val="000000"/>
                <w:sz w:val="18"/>
                <w:szCs w:val="18"/>
                <w:lang w:eastAsia="es-MX"/>
              </w:rPr>
              <w:t>1</w:t>
            </w:r>
          </w:p>
        </w:tc>
        <w:tc>
          <w:tcPr>
            <w:tcW w:w="14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8"/>
                <w:szCs w:val="18"/>
                <w:lang w:eastAsia="es-MX"/>
              </w:rPr>
            </w:pPr>
            <w:r w:rsidRPr="008B43F6">
              <w:rPr>
                <w:rFonts w:eastAsia="Times New Roman" w:cs="Times New Roman"/>
                <w:b/>
                <w:color w:val="000000"/>
                <w:sz w:val="18"/>
                <w:szCs w:val="18"/>
                <w:lang w:eastAsia="es-MX"/>
              </w:rPr>
              <w:t>1</w:t>
            </w:r>
          </w:p>
        </w:tc>
        <w:tc>
          <w:tcPr>
            <w:tcW w:w="1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b/>
                <w:color w:val="000000"/>
                <w:sz w:val="18"/>
                <w:szCs w:val="18"/>
              </w:rPr>
            </w:pPr>
            <w:r w:rsidRPr="008B43F6">
              <w:rPr>
                <w:rFonts w:cs="Calibri"/>
                <w:b/>
                <w:color w:val="000000"/>
                <w:sz w:val="18"/>
                <w:szCs w:val="18"/>
              </w:rPr>
              <w:t>558,318</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8B43F6">
              <w:rPr>
                <w:rFonts w:cs="Calibri"/>
                <w:color w:val="000000"/>
                <w:sz w:val="18"/>
                <w:szCs w:val="18"/>
              </w:rPr>
              <w:t>125,806</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8B43F6">
              <w:rPr>
                <w:rFonts w:cs="Calibri"/>
                <w:color w:val="000000"/>
                <w:sz w:val="18"/>
                <w:szCs w:val="18"/>
              </w:rPr>
              <w:t>137,403</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8B43F6">
              <w:rPr>
                <w:rFonts w:cs="Calibri"/>
                <w:color w:val="000000"/>
                <w:sz w:val="18"/>
                <w:szCs w:val="18"/>
              </w:rPr>
              <w:t>143,795</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8B43F6">
              <w:rPr>
                <w:rFonts w:cs="Calibri"/>
                <w:color w:val="000000"/>
                <w:sz w:val="18"/>
                <w:szCs w:val="18"/>
              </w:rPr>
              <w:t>151,314</w:t>
            </w:r>
          </w:p>
        </w:tc>
      </w:tr>
      <w:tr w:rsidR="00785D64" w:rsidRPr="008B43F6" w:rsidTr="00BF0BE8">
        <w:trPr>
          <w:cnfStyle w:val="000000100000" w:firstRow="0" w:lastRow="0" w:firstColumn="0" w:lastColumn="0" w:oddVBand="0" w:evenVBand="0" w:oddHBand="1" w:evenHBand="0" w:firstRowFirstColumn="0" w:firstRowLastColumn="0" w:lastRowFirstColumn="0" w:lastRowLastColumn="0"/>
          <w:trHeight w:val="42"/>
        </w:trPr>
        <w:tc>
          <w:tcPr>
            <w:cnfStyle w:val="001000000000" w:firstRow="0" w:lastRow="0" w:firstColumn="1" w:lastColumn="0" w:oddVBand="0" w:evenVBand="0" w:oddHBand="0" w:evenHBand="0" w:firstRowFirstColumn="0" w:firstRowLastColumn="0" w:lastRowFirstColumn="0" w:lastRowLastColumn="0"/>
            <w:tcW w:w="1303"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ind w:left="371"/>
              <w:jc w:val="both"/>
              <w:rPr>
                <w:rFonts w:eastAsia="Times New Roman" w:cs="Times New Roman"/>
                <w:color w:val="000000"/>
                <w:sz w:val="18"/>
                <w:szCs w:val="18"/>
                <w:lang w:eastAsia="es-MX"/>
              </w:rPr>
            </w:pPr>
          </w:p>
        </w:tc>
        <w:tc>
          <w:tcPr>
            <w:tcW w:w="14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8"/>
                <w:szCs w:val="18"/>
                <w:lang w:eastAsia="es-MX"/>
              </w:rPr>
            </w:pPr>
            <w:r w:rsidRPr="008B43F6">
              <w:rPr>
                <w:rFonts w:eastAsia="Times New Roman" w:cs="Times New Roman"/>
                <w:b/>
                <w:color w:val="000000"/>
                <w:sz w:val="18"/>
                <w:szCs w:val="18"/>
                <w:lang w:eastAsia="es-MX"/>
              </w:rPr>
              <w:t>1A</w:t>
            </w:r>
          </w:p>
        </w:tc>
        <w:tc>
          <w:tcPr>
            <w:tcW w:w="1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b/>
                <w:color w:val="000000"/>
                <w:sz w:val="18"/>
                <w:szCs w:val="18"/>
              </w:rPr>
            </w:pPr>
            <w:r w:rsidRPr="008B43F6">
              <w:rPr>
                <w:rFonts w:cs="Calibri"/>
                <w:b/>
                <w:color w:val="000000"/>
                <w:sz w:val="18"/>
                <w:szCs w:val="18"/>
              </w:rPr>
              <w:t>58,943</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8B43F6">
              <w:rPr>
                <w:rFonts w:cs="Calibri"/>
                <w:color w:val="000000"/>
                <w:sz w:val="18"/>
                <w:szCs w:val="18"/>
              </w:rPr>
              <w:t>13,282</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8B43F6">
              <w:rPr>
                <w:rFonts w:cs="Calibri"/>
                <w:color w:val="000000"/>
                <w:sz w:val="18"/>
                <w:szCs w:val="18"/>
              </w:rPr>
              <w:t>14,507</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8B43F6">
              <w:rPr>
                <w:rFonts w:cs="Calibri"/>
                <w:color w:val="000000"/>
                <w:sz w:val="18"/>
                <w:szCs w:val="18"/>
              </w:rPr>
              <w:t>15,181</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8B43F6">
              <w:rPr>
                <w:rFonts w:cs="Calibri"/>
                <w:color w:val="000000"/>
                <w:sz w:val="18"/>
                <w:szCs w:val="18"/>
              </w:rPr>
              <w:t>15,973</w:t>
            </w:r>
          </w:p>
        </w:tc>
      </w:tr>
      <w:tr w:rsidR="00785D64" w:rsidRPr="008B43F6" w:rsidTr="00BF0BE8">
        <w:trPr>
          <w:trHeight w:val="42"/>
        </w:trPr>
        <w:tc>
          <w:tcPr>
            <w:cnfStyle w:val="001000000000" w:firstRow="0" w:lastRow="0" w:firstColumn="1" w:lastColumn="0" w:oddVBand="0" w:evenVBand="0" w:oddHBand="0" w:evenHBand="0" w:firstRowFirstColumn="0" w:firstRowLastColumn="0" w:lastRowFirstColumn="0" w:lastRowLastColumn="0"/>
            <w:tcW w:w="1303"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ind w:left="371"/>
              <w:jc w:val="both"/>
              <w:rPr>
                <w:rFonts w:eastAsia="Times New Roman" w:cs="Times New Roman"/>
                <w:color w:val="000000"/>
                <w:sz w:val="18"/>
                <w:szCs w:val="18"/>
                <w:lang w:eastAsia="es-MX"/>
              </w:rPr>
            </w:pPr>
          </w:p>
        </w:tc>
        <w:tc>
          <w:tcPr>
            <w:tcW w:w="14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8"/>
                <w:szCs w:val="18"/>
                <w:lang w:eastAsia="es-MX"/>
              </w:rPr>
            </w:pPr>
            <w:r w:rsidRPr="008B43F6">
              <w:rPr>
                <w:rFonts w:eastAsia="Times New Roman" w:cs="Times New Roman"/>
                <w:b/>
                <w:color w:val="000000"/>
                <w:sz w:val="18"/>
                <w:szCs w:val="18"/>
                <w:lang w:eastAsia="es-MX"/>
              </w:rPr>
              <w:t>1B</w:t>
            </w:r>
          </w:p>
        </w:tc>
        <w:tc>
          <w:tcPr>
            <w:tcW w:w="1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b/>
                <w:color w:val="000000"/>
                <w:sz w:val="18"/>
                <w:szCs w:val="18"/>
              </w:rPr>
            </w:pPr>
            <w:r w:rsidRPr="008B43F6">
              <w:rPr>
                <w:rFonts w:cs="Calibri"/>
                <w:b/>
                <w:color w:val="000000"/>
                <w:sz w:val="18"/>
                <w:szCs w:val="18"/>
              </w:rPr>
              <w:t>114,218</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8B43F6">
              <w:rPr>
                <w:rFonts w:cs="Calibri"/>
                <w:color w:val="000000"/>
                <w:sz w:val="18"/>
                <w:szCs w:val="18"/>
              </w:rPr>
              <w:t>25,737</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8B43F6">
              <w:rPr>
                <w:rFonts w:cs="Calibri"/>
                <w:color w:val="000000"/>
                <w:sz w:val="18"/>
                <w:szCs w:val="18"/>
              </w:rPr>
              <w:t>28,110</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8B43F6">
              <w:rPr>
                <w:rFonts w:cs="Calibri"/>
                <w:color w:val="000000"/>
                <w:sz w:val="18"/>
                <w:szCs w:val="18"/>
              </w:rPr>
              <w:t>29,417</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8B43F6">
              <w:rPr>
                <w:rFonts w:cs="Calibri"/>
                <w:color w:val="000000"/>
                <w:sz w:val="18"/>
                <w:szCs w:val="18"/>
              </w:rPr>
              <w:t>30,954</w:t>
            </w:r>
          </w:p>
        </w:tc>
      </w:tr>
      <w:tr w:rsidR="00785D64" w:rsidRPr="008B43F6" w:rsidTr="00BF0BE8">
        <w:trPr>
          <w:cnfStyle w:val="000000100000" w:firstRow="0" w:lastRow="0" w:firstColumn="0" w:lastColumn="0" w:oddVBand="0" w:evenVBand="0" w:oddHBand="1" w:evenHBand="0" w:firstRowFirstColumn="0" w:firstRowLastColumn="0" w:lastRowFirstColumn="0" w:lastRowLastColumn="0"/>
          <w:trHeight w:val="42"/>
        </w:trPr>
        <w:tc>
          <w:tcPr>
            <w:cnfStyle w:val="001000000000" w:firstRow="0" w:lastRow="0" w:firstColumn="1" w:lastColumn="0" w:oddVBand="0" w:evenVBand="0" w:oddHBand="0" w:evenHBand="0" w:firstRowFirstColumn="0" w:firstRowLastColumn="0" w:lastRowFirstColumn="0" w:lastRowLastColumn="0"/>
            <w:tcW w:w="1303"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ind w:left="371"/>
              <w:jc w:val="both"/>
              <w:rPr>
                <w:rFonts w:eastAsia="Times New Roman" w:cs="Times New Roman"/>
                <w:color w:val="000000"/>
                <w:sz w:val="18"/>
                <w:szCs w:val="18"/>
                <w:lang w:eastAsia="es-MX"/>
              </w:rPr>
            </w:pPr>
          </w:p>
        </w:tc>
        <w:tc>
          <w:tcPr>
            <w:tcW w:w="14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8"/>
                <w:szCs w:val="18"/>
                <w:lang w:eastAsia="es-MX"/>
              </w:rPr>
            </w:pPr>
            <w:r w:rsidRPr="008B43F6">
              <w:rPr>
                <w:rFonts w:eastAsia="Times New Roman" w:cs="Times New Roman"/>
                <w:b/>
                <w:color w:val="000000"/>
                <w:sz w:val="18"/>
                <w:szCs w:val="18"/>
                <w:lang w:eastAsia="es-MX"/>
              </w:rPr>
              <w:t>1C</w:t>
            </w:r>
          </w:p>
        </w:tc>
        <w:tc>
          <w:tcPr>
            <w:tcW w:w="1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b/>
                <w:color w:val="000000"/>
                <w:sz w:val="18"/>
                <w:szCs w:val="18"/>
              </w:rPr>
            </w:pPr>
            <w:r w:rsidRPr="008B43F6">
              <w:rPr>
                <w:rFonts w:cs="Calibri"/>
                <w:b/>
                <w:color w:val="000000"/>
                <w:sz w:val="18"/>
                <w:szCs w:val="18"/>
              </w:rPr>
              <w:t>158,272</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8B43F6">
              <w:rPr>
                <w:rFonts w:cs="Calibri"/>
                <w:color w:val="000000"/>
                <w:sz w:val="18"/>
                <w:szCs w:val="18"/>
              </w:rPr>
              <w:t>35,664</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8B43F6">
              <w:rPr>
                <w:rFonts w:cs="Calibri"/>
                <w:color w:val="000000"/>
                <w:sz w:val="18"/>
                <w:szCs w:val="18"/>
              </w:rPr>
              <w:t>38,952</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8B43F6">
              <w:rPr>
                <w:rFonts w:cs="Calibri"/>
                <w:color w:val="000000"/>
                <w:sz w:val="18"/>
                <w:szCs w:val="18"/>
              </w:rPr>
              <w:t>40,763</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8B43F6">
              <w:rPr>
                <w:rFonts w:cs="Calibri"/>
                <w:color w:val="000000"/>
                <w:sz w:val="18"/>
                <w:szCs w:val="18"/>
              </w:rPr>
              <w:t>42,893</w:t>
            </w:r>
          </w:p>
        </w:tc>
      </w:tr>
      <w:tr w:rsidR="00785D64" w:rsidRPr="008B43F6" w:rsidTr="00BF0BE8">
        <w:trPr>
          <w:trHeight w:val="42"/>
        </w:trPr>
        <w:tc>
          <w:tcPr>
            <w:cnfStyle w:val="001000000000" w:firstRow="0" w:lastRow="0" w:firstColumn="1" w:lastColumn="0" w:oddVBand="0" w:evenVBand="0" w:oddHBand="0" w:evenHBand="0" w:firstRowFirstColumn="0" w:firstRowLastColumn="0" w:lastRowFirstColumn="0" w:lastRowLastColumn="0"/>
            <w:tcW w:w="1303"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ind w:left="371"/>
              <w:jc w:val="both"/>
              <w:rPr>
                <w:rFonts w:eastAsia="Times New Roman" w:cs="Times New Roman"/>
                <w:color w:val="000000"/>
                <w:sz w:val="18"/>
                <w:szCs w:val="18"/>
                <w:lang w:eastAsia="es-MX"/>
              </w:rPr>
            </w:pPr>
          </w:p>
        </w:tc>
        <w:tc>
          <w:tcPr>
            <w:tcW w:w="14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8"/>
                <w:szCs w:val="18"/>
                <w:lang w:eastAsia="es-MX"/>
              </w:rPr>
            </w:pPr>
            <w:r w:rsidRPr="008B43F6">
              <w:rPr>
                <w:rFonts w:eastAsia="Times New Roman" w:cs="Times New Roman"/>
                <w:b/>
                <w:color w:val="000000"/>
                <w:sz w:val="18"/>
                <w:szCs w:val="18"/>
                <w:lang w:eastAsia="es-MX"/>
              </w:rPr>
              <w:t>1D</w:t>
            </w:r>
          </w:p>
        </w:tc>
        <w:tc>
          <w:tcPr>
            <w:tcW w:w="1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b/>
                <w:color w:val="000000"/>
                <w:sz w:val="18"/>
                <w:szCs w:val="18"/>
              </w:rPr>
            </w:pPr>
            <w:r w:rsidRPr="008B43F6">
              <w:rPr>
                <w:rFonts w:cs="Calibri"/>
                <w:b/>
                <w:color w:val="000000"/>
                <w:sz w:val="18"/>
                <w:szCs w:val="18"/>
              </w:rPr>
              <w:t>37,126</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8B43F6">
              <w:rPr>
                <w:rFonts w:cs="Calibri"/>
                <w:color w:val="000000"/>
                <w:sz w:val="18"/>
                <w:szCs w:val="18"/>
              </w:rPr>
              <w:t>8,366</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8B43F6">
              <w:rPr>
                <w:rFonts w:cs="Calibri"/>
                <w:color w:val="000000"/>
                <w:sz w:val="18"/>
                <w:szCs w:val="18"/>
              </w:rPr>
              <w:t>9,138</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8B43F6">
              <w:rPr>
                <w:rFonts w:cs="Calibri"/>
                <w:color w:val="000000"/>
                <w:sz w:val="18"/>
                <w:szCs w:val="18"/>
              </w:rPr>
              <w:t>9,562</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8B43F6">
              <w:rPr>
                <w:rFonts w:cs="Calibri"/>
                <w:color w:val="000000"/>
                <w:sz w:val="18"/>
                <w:szCs w:val="18"/>
              </w:rPr>
              <w:t>10,060</w:t>
            </w:r>
          </w:p>
        </w:tc>
      </w:tr>
      <w:tr w:rsidR="00785D64" w:rsidRPr="008B43F6" w:rsidTr="00BF0BE8">
        <w:trPr>
          <w:cnfStyle w:val="000000100000" w:firstRow="0" w:lastRow="0" w:firstColumn="0" w:lastColumn="0" w:oddVBand="0" w:evenVBand="0" w:oddHBand="1" w:evenHBand="0" w:firstRowFirstColumn="0" w:firstRowLastColumn="0" w:lastRowFirstColumn="0" w:lastRowLastColumn="0"/>
          <w:trHeight w:val="42"/>
        </w:trPr>
        <w:tc>
          <w:tcPr>
            <w:cnfStyle w:val="001000000000" w:firstRow="0" w:lastRow="0" w:firstColumn="1" w:lastColumn="0" w:oddVBand="0" w:evenVBand="0" w:oddHBand="0" w:evenHBand="0" w:firstRowFirstColumn="0" w:firstRowLastColumn="0" w:lastRowFirstColumn="0" w:lastRowLastColumn="0"/>
            <w:tcW w:w="1303"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ind w:left="371"/>
              <w:jc w:val="both"/>
              <w:rPr>
                <w:rFonts w:eastAsia="Times New Roman" w:cs="Times New Roman"/>
                <w:color w:val="000000"/>
                <w:sz w:val="18"/>
                <w:szCs w:val="18"/>
                <w:lang w:eastAsia="es-MX"/>
              </w:rPr>
            </w:pPr>
          </w:p>
        </w:tc>
        <w:tc>
          <w:tcPr>
            <w:tcW w:w="14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8"/>
                <w:szCs w:val="18"/>
                <w:lang w:eastAsia="es-MX"/>
              </w:rPr>
            </w:pPr>
            <w:r w:rsidRPr="008B43F6">
              <w:rPr>
                <w:rFonts w:eastAsia="Times New Roman" w:cs="Times New Roman"/>
                <w:b/>
                <w:color w:val="000000"/>
                <w:sz w:val="18"/>
                <w:szCs w:val="18"/>
                <w:lang w:eastAsia="es-MX"/>
              </w:rPr>
              <w:t>1E</w:t>
            </w:r>
          </w:p>
        </w:tc>
        <w:tc>
          <w:tcPr>
            <w:tcW w:w="1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b/>
                <w:color w:val="000000"/>
                <w:sz w:val="18"/>
                <w:szCs w:val="18"/>
              </w:rPr>
            </w:pPr>
            <w:r w:rsidRPr="008B43F6">
              <w:rPr>
                <w:rFonts w:cs="Calibri"/>
                <w:b/>
                <w:color w:val="000000"/>
                <w:sz w:val="18"/>
                <w:szCs w:val="18"/>
              </w:rPr>
              <w:t>33,920</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8B43F6">
              <w:rPr>
                <w:rFonts w:cs="Calibri"/>
                <w:color w:val="000000"/>
                <w:sz w:val="18"/>
                <w:szCs w:val="18"/>
              </w:rPr>
              <w:t>7,644</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8B43F6">
              <w:rPr>
                <w:rFonts w:cs="Calibri"/>
                <w:color w:val="000000"/>
                <w:sz w:val="18"/>
                <w:szCs w:val="18"/>
              </w:rPr>
              <w:t>8,349</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8B43F6">
              <w:rPr>
                <w:rFonts w:cs="Calibri"/>
                <w:color w:val="000000"/>
                <w:sz w:val="18"/>
                <w:szCs w:val="18"/>
              </w:rPr>
              <w:t>8,736</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8B43F6">
              <w:rPr>
                <w:rFonts w:cs="Calibri"/>
                <w:color w:val="000000"/>
                <w:sz w:val="18"/>
                <w:szCs w:val="18"/>
              </w:rPr>
              <w:t>9,191</w:t>
            </w:r>
          </w:p>
        </w:tc>
      </w:tr>
      <w:tr w:rsidR="00785D64" w:rsidRPr="008B43F6" w:rsidTr="00BF0BE8">
        <w:trPr>
          <w:trHeight w:val="42"/>
        </w:trPr>
        <w:tc>
          <w:tcPr>
            <w:cnfStyle w:val="001000000000" w:firstRow="0" w:lastRow="0" w:firstColumn="1" w:lastColumn="0" w:oddVBand="0" w:evenVBand="0" w:oddHBand="0" w:evenHBand="0" w:firstRowFirstColumn="0" w:firstRowLastColumn="0" w:lastRowFirstColumn="0" w:lastRowLastColumn="0"/>
            <w:tcW w:w="1303"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ind w:left="371"/>
              <w:jc w:val="both"/>
              <w:rPr>
                <w:rFonts w:eastAsia="Times New Roman" w:cs="Times New Roman"/>
                <w:color w:val="000000"/>
                <w:sz w:val="18"/>
                <w:szCs w:val="18"/>
                <w:lang w:eastAsia="es-MX"/>
              </w:rPr>
            </w:pPr>
          </w:p>
        </w:tc>
        <w:tc>
          <w:tcPr>
            <w:tcW w:w="14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8"/>
                <w:szCs w:val="18"/>
                <w:lang w:eastAsia="es-MX"/>
              </w:rPr>
            </w:pPr>
            <w:r w:rsidRPr="008B43F6">
              <w:rPr>
                <w:rFonts w:eastAsia="Times New Roman" w:cs="Times New Roman"/>
                <w:b/>
                <w:color w:val="000000"/>
                <w:sz w:val="18"/>
                <w:szCs w:val="18"/>
                <w:lang w:eastAsia="es-MX"/>
              </w:rPr>
              <w:t>1F</w:t>
            </w:r>
          </w:p>
        </w:tc>
        <w:tc>
          <w:tcPr>
            <w:tcW w:w="1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b/>
                <w:color w:val="000000"/>
                <w:sz w:val="18"/>
                <w:szCs w:val="18"/>
              </w:rPr>
            </w:pPr>
            <w:r w:rsidRPr="008B43F6">
              <w:rPr>
                <w:rFonts w:cs="Calibri"/>
                <w:b/>
                <w:color w:val="000000"/>
                <w:sz w:val="18"/>
                <w:szCs w:val="18"/>
              </w:rPr>
              <w:t>39,203</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8B43F6">
              <w:rPr>
                <w:rFonts w:cs="Calibri"/>
                <w:color w:val="000000"/>
                <w:sz w:val="18"/>
                <w:szCs w:val="18"/>
              </w:rPr>
              <w:t>8,834</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8B43F6">
              <w:rPr>
                <w:rFonts w:cs="Calibri"/>
                <w:color w:val="000000"/>
                <w:sz w:val="18"/>
                <w:szCs w:val="18"/>
              </w:rPr>
              <w:t>9,649</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8B43F6">
              <w:rPr>
                <w:rFonts w:cs="Calibri"/>
                <w:color w:val="000000"/>
                <w:sz w:val="18"/>
                <w:szCs w:val="18"/>
              </w:rPr>
              <w:t>10,097</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8B43F6">
              <w:rPr>
                <w:rFonts w:cs="Calibri"/>
                <w:color w:val="000000"/>
                <w:sz w:val="18"/>
                <w:szCs w:val="18"/>
              </w:rPr>
              <w:t>10,623</w:t>
            </w:r>
          </w:p>
        </w:tc>
      </w:tr>
      <w:tr w:rsidR="00785D64" w:rsidRPr="008B43F6" w:rsidTr="00BF0BE8">
        <w:trPr>
          <w:cnfStyle w:val="000000100000" w:firstRow="0" w:lastRow="0" w:firstColumn="0" w:lastColumn="0" w:oddVBand="0" w:evenVBand="0" w:oddHBand="1" w:evenHBand="0"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1303"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ind w:left="371"/>
              <w:jc w:val="both"/>
              <w:rPr>
                <w:rFonts w:eastAsia="Times New Roman" w:cs="Times New Roman"/>
                <w:color w:val="000000"/>
                <w:sz w:val="18"/>
                <w:szCs w:val="18"/>
                <w:lang w:eastAsia="es-MX"/>
              </w:rPr>
            </w:pPr>
            <w:r w:rsidRPr="008B43F6">
              <w:rPr>
                <w:rFonts w:eastAsia="Times New Roman" w:cs="Times New Roman"/>
                <w:color w:val="000000"/>
                <w:sz w:val="18"/>
                <w:szCs w:val="18"/>
                <w:lang w:eastAsia="es-MX"/>
              </w:rPr>
              <w:t xml:space="preserve">2 </w:t>
            </w:r>
          </w:p>
        </w:tc>
        <w:tc>
          <w:tcPr>
            <w:tcW w:w="14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8"/>
                <w:szCs w:val="18"/>
                <w:lang w:eastAsia="es-MX"/>
              </w:rPr>
            </w:pPr>
            <w:r w:rsidRPr="008B43F6">
              <w:rPr>
                <w:rFonts w:eastAsia="Times New Roman" w:cs="Times New Roman"/>
                <w:b/>
                <w:color w:val="000000"/>
                <w:sz w:val="18"/>
                <w:szCs w:val="18"/>
                <w:lang w:eastAsia="es-MX"/>
              </w:rPr>
              <w:t>1</w:t>
            </w:r>
          </w:p>
        </w:tc>
        <w:tc>
          <w:tcPr>
            <w:tcW w:w="1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b/>
                <w:color w:val="000000"/>
                <w:sz w:val="18"/>
                <w:szCs w:val="18"/>
              </w:rPr>
            </w:pPr>
            <w:r w:rsidRPr="008B43F6">
              <w:rPr>
                <w:rFonts w:cs="Calibri"/>
                <w:b/>
                <w:color w:val="000000"/>
                <w:sz w:val="18"/>
                <w:szCs w:val="18"/>
              </w:rPr>
              <w:t>837,477</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8B43F6">
              <w:rPr>
                <w:rFonts w:cs="Calibri"/>
                <w:color w:val="000000"/>
                <w:sz w:val="18"/>
                <w:szCs w:val="18"/>
              </w:rPr>
              <w:t>188,709</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8B43F6">
              <w:rPr>
                <w:rFonts w:cs="Calibri"/>
                <w:color w:val="000000"/>
                <w:sz w:val="18"/>
                <w:szCs w:val="18"/>
              </w:rPr>
              <w:t>206,105</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8B43F6">
              <w:rPr>
                <w:rFonts w:cs="Calibri"/>
                <w:color w:val="000000"/>
                <w:sz w:val="18"/>
                <w:szCs w:val="18"/>
              </w:rPr>
              <w:t>215,692</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8B43F6">
              <w:rPr>
                <w:rFonts w:cs="Calibri"/>
                <w:color w:val="000000"/>
                <w:sz w:val="18"/>
                <w:szCs w:val="18"/>
              </w:rPr>
              <w:t>226,971</w:t>
            </w:r>
          </w:p>
        </w:tc>
      </w:tr>
      <w:tr w:rsidR="00785D64" w:rsidRPr="008B43F6" w:rsidTr="00BF0BE8">
        <w:trPr>
          <w:trHeight w:val="42"/>
        </w:trPr>
        <w:tc>
          <w:tcPr>
            <w:cnfStyle w:val="001000000000" w:firstRow="0" w:lastRow="0" w:firstColumn="1" w:lastColumn="0" w:oddVBand="0" w:evenVBand="0" w:oddHBand="0" w:evenHBand="0" w:firstRowFirstColumn="0" w:firstRowLastColumn="0" w:lastRowFirstColumn="0" w:lastRowLastColumn="0"/>
            <w:tcW w:w="1303"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ind w:left="371"/>
              <w:jc w:val="both"/>
              <w:rPr>
                <w:rFonts w:eastAsia="Times New Roman" w:cs="Times New Roman"/>
                <w:color w:val="000000"/>
                <w:sz w:val="18"/>
                <w:szCs w:val="18"/>
                <w:lang w:eastAsia="es-MX"/>
              </w:rPr>
            </w:pPr>
          </w:p>
        </w:tc>
        <w:tc>
          <w:tcPr>
            <w:tcW w:w="14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8"/>
                <w:szCs w:val="18"/>
                <w:lang w:eastAsia="es-MX"/>
              </w:rPr>
            </w:pPr>
            <w:r w:rsidRPr="008B43F6">
              <w:rPr>
                <w:rFonts w:eastAsia="Times New Roman" w:cs="Times New Roman"/>
                <w:b/>
                <w:color w:val="000000"/>
                <w:sz w:val="18"/>
                <w:szCs w:val="18"/>
                <w:lang w:eastAsia="es-MX"/>
              </w:rPr>
              <w:t>1A</w:t>
            </w:r>
          </w:p>
        </w:tc>
        <w:tc>
          <w:tcPr>
            <w:tcW w:w="1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b/>
                <w:color w:val="000000"/>
                <w:sz w:val="18"/>
                <w:szCs w:val="18"/>
              </w:rPr>
            </w:pPr>
            <w:r w:rsidRPr="008B43F6">
              <w:rPr>
                <w:rFonts w:cs="Calibri"/>
                <w:b/>
                <w:color w:val="000000"/>
                <w:sz w:val="18"/>
                <w:szCs w:val="18"/>
              </w:rPr>
              <w:t>88,414</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8B43F6">
              <w:rPr>
                <w:rFonts w:cs="Calibri"/>
                <w:color w:val="000000"/>
                <w:sz w:val="18"/>
                <w:szCs w:val="18"/>
              </w:rPr>
              <w:t>19,923</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8B43F6">
              <w:rPr>
                <w:rFonts w:cs="Calibri"/>
                <w:color w:val="000000"/>
                <w:sz w:val="18"/>
                <w:szCs w:val="18"/>
              </w:rPr>
              <w:t>21,761</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8B43F6">
              <w:rPr>
                <w:rFonts w:cs="Calibri"/>
                <w:color w:val="000000"/>
                <w:sz w:val="18"/>
                <w:szCs w:val="18"/>
              </w:rPr>
              <w:t>22,771</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8B43F6">
              <w:rPr>
                <w:rFonts w:cs="Calibri"/>
                <w:color w:val="000000"/>
                <w:sz w:val="18"/>
                <w:szCs w:val="18"/>
              </w:rPr>
              <w:t>23,959</w:t>
            </w:r>
          </w:p>
        </w:tc>
      </w:tr>
      <w:tr w:rsidR="00785D64" w:rsidRPr="008B43F6" w:rsidTr="00BF0BE8">
        <w:trPr>
          <w:cnfStyle w:val="000000100000" w:firstRow="0" w:lastRow="0" w:firstColumn="0" w:lastColumn="0" w:oddVBand="0" w:evenVBand="0" w:oddHBand="1" w:evenHBand="0" w:firstRowFirstColumn="0" w:firstRowLastColumn="0" w:lastRowFirstColumn="0" w:lastRowLastColumn="0"/>
          <w:trHeight w:val="42"/>
        </w:trPr>
        <w:tc>
          <w:tcPr>
            <w:cnfStyle w:val="001000000000" w:firstRow="0" w:lastRow="0" w:firstColumn="1" w:lastColumn="0" w:oddVBand="0" w:evenVBand="0" w:oddHBand="0" w:evenHBand="0" w:firstRowFirstColumn="0" w:firstRowLastColumn="0" w:lastRowFirstColumn="0" w:lastRowLastColumn="0"/>
            <w:tcW w:w="1303"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ind w:left="371"/>
              <w:jc w:val="both"/>
              <w:rPr>
                <w:rFonts w:eastAsia="Times New Roman" w:cs="Times New Roman"/>
                <w:color w:val="000000"/>
                <w:sz w:val="18"/>
                <w:szCs w:val="18"/>
                <w:lang w:eastAsia="es-MX"/>
              </w:rPr>
            </w:pPr>
          </w:p>
        </w:tc>
        <w:tc>
          <w:tcPr>
            <w:tcW w:w="14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8"/>
                <w:szCs w:val="18"/>
                <w:lang w:eastAsia="es-MX"/>
              </w:rPr>
            </w:pPr>
            <w:r w:rsidRPr="008B43F6">
              <w:rPr>
                <w:rFonts w:eastAsia="Times New Roman" w:cs="Times New Roman"/>
                <w:b/>
                <w:color w:val="000000"/>
                <w:sz w:val="18"/>
                <w:szCs w:val="18"/>
                <w:lang w:eastAsia="es-MX"/>
              </w:rPr>
              <w:t>1B</w:t>
            </w:r>
          </w:p>
        </w:tc>
        <w:tc>
          <w:tcPr>
            <w:tcW w:w="1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b/>
                <w:color w:val="000000"/>
                <w:sz w:val="18"/>
                <w:szCs w:val="18"/>
              </w:rPr>
            </w:pPr>
            <w:r w:rsidRPr="008B43F6">
              <w:rPr>
                <w:rFonts w:cs="Calibri"/>
                <w:b/>
                <w:color w:val="000000"/>
                <w:sz w:val="18"/>
                <w:szCs w:val="18"/>
              </w:rPr>
              <w:t>171,326</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8B43F6">
              <w:rPr>
                <w:rFonts w:cs="Calibri"/>
                <w:color w:val="000000"/>
                <w:sz w:val="18"/>
                <w:szCs w:val="18"/>
              </w:rPr>
              <w:t>38,606</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8B43F6">
              <w:rPr>
                <w:rFonts w:cs="Calibri"/>
                <w:color w:val="000000"/>
                <w:sz w:val="18"/>
                <w:szCs w:val="18"/>
              </w:rPr>
              <w:t>42,165</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8B43F6">
              <w:rPr>
                <w:rFonts w:cs="Calibri"/>
                <w:color w:val="000000"/>
                <w:sz w:val="18"/>
                <w:szCs w:val="18"/>
              </w:rPr>
              <w:t>44,125</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8B43F6">
              <w:rPr>
                <w:rFonts w:cs="Calibri"/>
                <w:color w:val="000000"/>
                <w:sz w:val="18"/>
                <w:szCs w:val="18"/>
              </w:rPr>
              <w:t>46,430</w:t>
            </w:r>
          </w:p>
        </w:tc>
      </w:tr>
      <w:tr w:rsidR="00785D64" w:rsidRPr="008B43F6" w:rsidTr="00BF0BE8">
        <w:trPr>
          <w:trHeight w:val="42"/>
        </w:trPr>
        <w:tc>
          <w:tcPr>
            <w:cnfStyle w:val="001000000000" w:firstRow="0" w:lastRow="0" w:firstColumn="1" w:lastColumn="0" w:oddVBand="0" w:evenVBand="0" w:oddHBand="0" w:evenHBand="0" w:firstRowFirstColumn="0" w:firstRowLastColumn="0" w:lastRowFirstColumn="0" w:lastRowLastColumn="0"/>
            <w:tcW w:w="1303"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ind w:left="371"/>
              <w:jc w:val="both"/>
              <w:rPr>
                <w:rFonts w:eastAsia="Times New Roman" w:cs="Times New Roman"/>
                <w:color w:val="000000"/>
                <w:sz w:val="18"/>
                <w:szCs w:val="18"/>
                <w:lang w:eastAsia="es-MX"/>
              </w:rPr>
            </w:pPr>
          </w:p>
        </w:tc>
        <w:tc>
          <w:tcPr>
            <w:tcW w:w="14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8"/>
                <w:szCs w:val="18"/>
                <w:lang w:eastAsia="es-MX"/>
              </w:rPr>
            </w:pPr>
            <w:r w:rsidRPr="008B43F6">
              <w:rPr>
                <w:rFonts w:eastAsia="Times New Roman" w:cs="Times New Roman"/>
                <w:b/>
                <w:color w:val="000000"/>
                <w:sz w:val="18"/>
                <w:szCs w:val="18"/>
                <w:lang w:eastAsia="es-MX"/>
              </w:rPr>
              <w:t>1C</w:t>
            </w:r>
          </w:p>
        </w:tc>
        <w:tc>
          <w:tcPr>
            <w:tcW w:w="1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b/>
                <w:color w:val="000000"/>
                <w:sz w:val="18"/>
                <w:szCs w:val="18"/>
              </w:rPr>
            </w:pPr>
            <w:r w:rsidRPr="008B43F6">
              <w:rPr>
                <w:rFonts w:cs="Calibri"/>
                <w:b/>
                <w:color w:val="000000"/>
                <w:sz w:val="18"/>
                <w:szCs w:val="18"/>
              </w:rPr>
              <w:t>237,409</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8B43F6">
              <w:rPr>
                <w:rFonts w:cs="Calibri"/>
                <w:color w:val="000000"/>
                <w:sz w:val="18"/>
                <w:szCs w:val="18"/>
              </w:rPr>
              <w:t>53,496</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8B43F6">
              <w:rPr>
                <w:rFonts w:cs="Calibri"/>
                <w:color w:val="000000"/>
                <w:sz w:val="18"/>
                <w:szCs w:val="18"/>
              </w:rPr>
              <w:t>58,428</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8B43F6">
              <w:rPr>
                <w:rFonts w:cs="Calibri"/>
                <w:color w:val="000000"/>
                <w:sz w:val="18"/>
                <w:szCs w:val="18"/>
              </w:rPr>
              <w:t>61,145</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8B43F6">
              <w:rPr>
                <w:rFonts w:cs="Calibri"/>
                <w:color w:val="000000"/>
                <w:sz w:val="18"/>
                <w:szCs w:val="18"/>
              </w:rPr>
              <w:t>64,340</w:t>
            </w:r>
          </w:p>
        </w:tc>
      </w:tr>
      <w:tr w:rsidR="00785D64" w:rsidRPr="008B43F6" w:rsidTr="00BF0BE8">
        <w:trPr>
          <w:cnfStyle w:val="000000100000" w:firstRow="0" w:lastRow="0" w:firstColumn="0" w:lastColumn="0" w:oddVBand="0" w:evenVBand="0" w:oddHBand="1" w:evenHBand="0" w:firstRowFirstColumn="0" w:firstRowLastColumn="0" w:lastRowFirstColumn="0" w:lastRowLastColumn="0"/>
          <w:trHeight w:val="42"/>
        </w:trPr>
        <w:tc>
          <w:tcPr>
            <w:cnfStyle w:val="001000000000" w:firstRow="0" w:lastRow="0" w:firstColumn="1" w:lastColumn="0" w:oddVBand="0" w:evenVBand="0" w:oddHBand="0" w:evenHBand="0" w:firstRowFirstColumn="0" w:firstRowLastColumn="0" w:lastRowFirstColumn="0" w:lastRowLastColumn="0"/>
            <w:tcW w:w="1303"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ind w:left="371"/>
              <w:jc w:val="both"/>
              <w:rPr>
                <w:rFonts w:eastAsia="Times New Roman" w:cs="Times New Roman"/>
                <w:color w:val="000000"/>
                <w:sz w:val="18"/>
                <w:szCs w:val="18"/>
                <w:lang w:eastAsia="es-MX"/>
              </w:rPr>
            </w:pPr>
          </w:p>
        </w:tc>
        <w:tc>
          <w:tcPr>
            <w:tcW w:w="14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8"/>
                <w:szCs w:val="18"/>
                <w:lang w:eastAsia="es-MX"/>
              </w:rPr>
            </w:pPr>
            <w:r w:rsidRPr="008B43F6">
              <w:rPr>
                <w:rFonts w:eastAsia="Times New Roman" w:cs="Times New Roman"/>
                <w:b/>
                <w:color w:val="000000"/>
                <w:sz w:val="18"/>
                <w:szCs w:val="18"/>
                <w:lang w:eastAsia="es-MX"/>
              </w:rPr>
              <w:t>1D</w:t>
            </w:r>
          </w:p>
        </w:tc>
        <w:tc>
          <w:tcPr>
            <w:tcW w:w="1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b/>
                <w:color w:val="000000"/>
                <w:sz w:val="18"/>
                <w:szCs w:val="18"/>
              </w:rPr>
            </w:pPr>
            <w:r w:rsidRPr="008B43F6">
              <w:rPr>
                <w:rFonts w:cs="Calibri"/>
                <w:b/>
                <w:color w:val="000000"/>
                <w:sz w:val="18"/>
                <w:szCs w:val="18"/>
              </w:rPr>
              <w:t>55,690</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8B43F6">
              <w:rPr>
                <w:rFonts w:cs="Calibri"/>
                <w:color w:val="000000"/>
                <w:sz w:val="18"/>
                <w:szCs w:val="18"/>
              </w:rPr>
              <w:t>12,550</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8B43F6">
              <w:rPr>
                <w:rFonts w:cs="Calibri"/>
                <w:color w:val="000000"/>
                <w:sz w:val="18"/>
                <w:szCs w:val="18"/>
              </w:rPr>
              <w:t>13,707</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8B43F6">
              <w:rPr>
                <w:rFonts w:cs="Calibri"/>
                <w:color w:val="000000"/>
                <w:sz w:val="18"/>
                <w:szCs w:val="18"/>
              </w:rPr>
              <w:t>14,343</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8B43F6">
              <w:rPr>
                <w:rFonts w:cs="Calibri"/>
                <w:color w:val="000000"/>
                <w:sz w:val="18"/>
                <w:szCs w:val="18"/>
              </w:rPr>
              <w:t>15,090</w:t>
            </w:r>
          </w:p>
        </w:tc>
      </w:tr>
      <w:tr w:rsidR="00785D64" w:rsidRPr="008B43F6" w:rsidTr="00BF0BE8">
        <w:trPr>
          <w:trHeight w:val="42"/>
        </w:trPr>
        <w:tc>
          <w:tcPr>
            <w:cnfStyle w:val="001000000000" w:firstRow="0" w:lastRow="0" w:firstColumn="1" w:lastColumn="0" w:oddVBand="0" w:evenVBand="0" w:oddHBand="0" w:evenHBand="0" w:firstRowFirstColumn="0" w:firstRowLastColumn="0" w:lastRowFirstColumn="0" w:lastRowLastColumn="0"/>
            <w:tcW w:w="1303"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ind w:left="371"/>
              <w:jc w:val="both"/>
              <w:rPr>
                <w:rFonts w:eastAsia="Times New Roman" w:cs="Times New Roman"/>
                <w:color w:val="000000"/>
                <w:sz w:val="18"/>
                <w:szCs w:val="18"/>
                <w:lang w:eastAsia="es-MX"/>
              </w:rPr>
            </w:pPr>
          </w:p>
        </w:tc>
        <w:tc>
          <w:tcPr>
            <w:tcW w:w="14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8"/>
                <w:szCs w:val="18"/>
                <w:lang w:eastAsia="es-MX"/>
              </w:rPr>
            </w:pPr>
            <w:r w:rsidRPr="008B43F6">
              <w:rPr>
                <w:rFonts w:eastAsia="Times New Roman" w:cs="Times New Roman"/>
                <w:b/>
                <w:color w:val="000000"/>
                <w:sz w:val="18"/>
                <w:szCs w:val="18"/>
                <w:lang w:eastAsia="es-MX"/>
              </w:rPr>
              <w:t>1E</w:t>
            </w:r>
          </w:p>
        </w:tc>
        <w:tc>
          <w:tcPr>
            <w:tcW w:w="1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b/>
                <w:color w:val="000000"/>
                <w:sz w:val="18"/>
                <w:szCs w:val="18"/>
              </w:rPr>
            </w:pPr>
            <w:r w:rsidRPr="008B43F6">
              <w:rPr>
                <w:rFonts w:cs="Calibri"/>
                <w:b/>
                <w:color w:val="000000"/>
                <w:sz w:val="18"/>
                <w:szCs w:val="18"/>
              </w:rPr>
              <w:t>50,878</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8B43F6">
              <w:rPr>
                <w:rFonts w:cs="Calibri"/>
                <w:color w:val="000000"/>
                <w:sz w:val="18"/>
                <w:szCs w:val="18"/>
              </w:rPr>
              <w:t>11,465</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8B43F6">
              <w:rPr>
                <w:rFonts w:cs="Calibri"/>
                <w:color w:val="000000"/>
                <w:sz w:val="18"/>
                <w:szCs w:val="18"/>
              </w:rPr>
              <w:t>12,523</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8B43F6">
              <w:rPr>
                <w:rFonts w:cs="Calibri"/>
                <w:color w:val="000000"/>
                <w:sz w:val="18"/>
                <w:szCs w:val="18"/>
              </w:rPr>
              <w:t>13,104</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8B43F6">
              <w:rPr>
                <w:rFonts w:cs="Calibri"/>
                <w:color w:val="000000"/>
                <w:sz w:val="18"/>
                <w:szCs w:val="18"/>
              </w:rPr>
              <w:t>13,786</w:t>
            </w:r>
          </w:p>
        </w:tc>
      </w:tr>
      <w:tr w:rsidR="00785D64" w:rsidRPr="008B43F6" w:rsidTr="00BF0BE8">
        <w:trPr>
          <w:cnfStyle w:val="000000100000" w:firstRow="0" w:lastRow="0" w:firstColumn="0" w:lastColumn="0" w:oddVBand="0" w:evenVBand="0" w:oddHBand="1" w:evenHBand="0" w:firstRowFirstColumn="0" w:firstRowLastColumn="0" w:lastRowFirstColumn="0" w:lastRowLastColumn="0"/>
          <w:trHeight w:val="42"/>
        </w:trPr>
        <w:tc>
          <w:tcPr>
            <w:cnfStyle w:val="001000000000" w:firstRow="0" w:lastRow="0" w:firstColumn="1" w:lastColumn="0" w:oddVBand="0" w:evenVBand="0" w:oddHBand="0" w:evenHBand="0" w:firstRowFirstColumn="0" w:firstRowLastColumn="0" w:lastRowFirstColumn="0" w:lastRowLastColumn="0"/>
            <w:tcW w:w="1303"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ind w:left="371"/>
              <w:jc w:val="both"/>
              <w:rPr>
                <w:rFonts w:eastAsia="Times New Roman" w:cs="Times New Roman"/>
                <w:color w:val="000000"/>
                <w:sz w:val="18"/>
                <w:szCs w:val="18"/>
                <w:lang w:eastAsia="es-MX"/>
              </w:rPr>
            </w:pPr>
          </w:p>
        </w:tc>
        <w:tc>
          <w:tcPr>
            <w:tcW w:w="14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8"/>
                <w:szCs w:val="18"/>
                <w:lang w:eastAsia="es-MX"/>
              </w:rPr>
            </w:pPr>
            <w:r w:rsidRPr="008B43F6">
              <w:rPr>
                <w:rFonts w:eastAsia="Times New Roman" w:cs="Times New Roman"/>
                <w:b/>
                <w:color w:val="000000"/>
                <w:sz w:val="18"/>
                <w:szCs w:val="18"/>
                <w:lang w:eastAsia="es-MX"/>
              </w:rPr>
              <w:t>1F</w:t>
            </w:r>
          </w:p>
        </w:tc>
        <w:tc>
          <w:tcPr>
            <w:tcW w:w="1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b/>
                <w:color w:val="000000"/>
                <w:sz w:val="18"/>
                <w:szCs w:val="18"/>
              </w:rPr>
            </w:pPr>
            <w:r w:rsidRPr="008B43F6">
              <w:rPr>
                <w:rFonts w:cs="Calibri"/>
                <w:b/>
                <w:color w:val="000000"/>
                <w:sz w:val="18"/>
                <w:szCs w:val="18"/>
              </w:rPr>
              <w:t>58,804</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8B43F6">
              <w:rPr>
                <w:rFonts w:cs="Calibri"/>
                <w:color w:val="000000"/>
                <w:sz w:val="18"/>
                <w:szCs w:val="18"/>
              </w:rPr>
              <w:t>13,251</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8B43F6">
              <w:rPr>
                <w:rFonts w:cs="Calibri"/>
                <w:color w:val="000000"/>
                <w:sz w:val="18"/>
                <w:szCs w:val="18"/>
              </w:rPr>
              <w:t>14,474</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8B43F6">
              <w:rPr>
                <w:rFonts w:cs="Calibri"/>
                <w:color w:val="000000"/>
                <w:sz w:val="18"/>
                <w:szCs w:val="18"/>
              </w:rPr>
              <w:t>15,145</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8B43F6">
              <w:rPr>
                <w:rFonts w:cs="Calibri"/>
                <w:color w:val="000000"/>
                <w:sz w:val="18"/>
                <w:szCs w:val="18"/>
              </w:rPr>
              <w:t>15,934</w:t>
            </w:r>
          </w:p>
        </w:tc>
      </w:tr>
      <w:tr w:rsidR="00785D64" w:rsidRPr="008B43F6" w:rsidTr="00BF0BE8">
        <w:trPr>
          <w:trHeight w:val="48"/>
        </w:trPr>
        <w:tc>
          <w:tcPr>
            <w:cnfStyle w:val="001000000000" w:firstRow="0" w:lastRow="0" w:firstColumn="1" w:lastColumn="0" w:oddVBand="0" w:evenVBand="0" w:oddHBand="0" w:evenHBand="0" w:firstRowFirstColumn="0" w:firstRowLastColumn="0" w:lastRowFirstColumn="0" w:lastRowLastColumn="0"/>
            <w:tcW w:w="1303"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ind w:left="371"/>
              <w:jc w:val="both"/>
              <w:rPr>
                <w:rFonts w:eastAsia="Times New Roman" w:cs="Times New Roman"/>
                <w:color w:val="000000"/>
                <w:sz w:val="18"/>
                <w:szCs w:val="18"/>
                <w:lang w:eastAsia="es-MX"/>
              </w:rPr>
            </w:pPr>
            <w:r w:rsidRPr="008B43F6">
              <w:rPr>
                <w:rFonts w:eastAsia="Times New Roman" w:cs="Times New Roman"/>
                <w:color w:val="000000"/>
                <w:sz w:val="18"/>
                <w:szCs w:val="18"/>
                <w:lang w:eastAsia="es-MX"/>
              </w:rPr>
              <w:t>3</w:t>
            </w:r>
          </w:p>
        </w:tc>
        <w:tc>
          <w:tcPr>
            <w:tcW w:w="14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8"/>
                <w:szCs w:val="18"/>
                <w:lang w:eastAsia="es-MX"/>
              </w:rPr>
            </w:pPr>
            <w:r w:rsidRPr="008B43F6">
              <w:rPr>
                <w:rFonts w:eastAsia="Times New Roman" w:cs="Times New Roman"/>
                <w:b/>
                <w:color w:val="000000"/>
                <w:sz w:val="18"/>
                <w:szCs w:val="18"/>
                <w:lang w:eastAsia="es-MX"/>
              </w:rPr>
              <w:t>1</w:t>
            </w:r>
          </w:p>
        </w:tc>
        <w:tc>
          <w:tcPr>
            <w:tcW w:w="1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bottom"/>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b/>
                <w:color w:val="000000"/>
                <w:sz w:val="18"/>
                <w:szCs w:val="18"/>
              </w:rPr>
            </w:pPr>
            <w:r w:rsidRPr="008B43F6">
              <w:rPr>
                <w:rFonts w:cs="Calibri"/>
                <w:b/>
                <w:color w:val="000000"/>
                <w:sz w:val="18"/>
                <w:szCs w:val="18"/>
              </w:rPr>
              <w:t>1,674,953</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8B43F6">
              <w:rPr>
                <w:rFonts w:cs="Calibri"/>
                <w:color w:val="000000"/>
                <w:sz w:val="18"/>
                <w:szCs w:val="18"/>
              </w:rPr>
              <w:t>377,417</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8B43F6">
              <w:rPr>
                <w:rFonts w:cs="Calibri"/>
                <w:color w:val="000000"/>
                <w:sz w:val="18"/>
                <w:szCs w:val="18"/>
              </w:rPr>
              <w:t>412,209</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8B43F6">
              <w:rPr>
                <w:rFonts w:cs="Calibri"/>
                <w:color w:val="000000"/>
                <w:sz w:val="18"/>
                <w:szCs w:val="18"/>
              </w:rPr>
              <w:t>431,385</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8B43F6">
              <w:rPr>
                <w:rFonts w:cs="Calibri"/>
                <w:color w:val="000000"/>
                <w:sz w:val="18"/>
                <w:szCs w:val="18"/>
              </w:rPr>
              <w:t>453,942</w:t>
            </w:r>
          </w:p>
        </w:tc>
      </w:tr>
      <w:tr w:rsidR="00785D64" w:rsidRPr="008B43F6" w:rsidTr="00BF0BE8">
        <w:trPr>
          <w:cnfStyle w:val="000000100000" w:firstRow="0" w:lastRow="0" w:firstColumn="0" w:lastColumn="0" w:oddVBand="0" w:evenVBand="0" w:oddHBand="1" w:evenHBand="0" w:firstRowFirstColumn="0" w:firstRowLastColumn="0" w:lastRowFirstColumn="0" w:lastRowLastColumn="0"/>
          <w:trHeight w:val="42"/>
        </w:trPr>
        <w:tc>
          <w:tcPr>
            <w:cnfStyle w:val="001000000000" w:firstRow="0" w:lastRow="0" w:firstColumn="1" w:lastColumn="0" w:oddVBand="0" w:evenVBand="0" w:oddHBand="0" w:evenHBand="0" w:firstRowFirstColumn="0" w:firstRowLastColumn="0" w:lastRowFirstColumn="0" w:lastRowLastColumn="0"/>
            <w:tcW w:w="1303"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ind w:left="371"/>
              <w:jc w:val="both"/>
              <w:rPr>
                <w:rFonts w:eastAsia="Times New Roman" w:cs="Times New Roman"/>
                <w:b w:val="0"/>
                <w:color w:val="000000"/>
                <w:sz w:val="18"/>
                <w:szCs w:val="18"/>
                <w:lang w:eastAsia="es-MX"/>
              </w:rPr>
            </w:pPr>
          </w:p>
        </w:tc>
        <w:tc>
          <w:tcPr>
            <w:tcW w:w="14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8"/>
                <w:szCs w:val="18"/>
                <w:lang w:eastAsia="es-MX"/>
              </w:rPr>
            </w:pPr>
            <w:r w:rsidRPr="008B43F6">
              <w:rPr>
                <w:rFonts w:eastAsia="Times New Roman" w:cs="Times New Roman"/>
                <w:b/>
                <w:color w:val="000000"/>
                <w:sz w:val="18"/>
                <w:szCs w:val="18"/>
                <w:lang w:eastAsia="es-MX"/>
              </w:rPr>
              <w:t>1A</w:t>
            </w:r>
          </w:p>
        </w:tc>
        <w:tc>
          <w:tcPr>
            <w:tcW w:w="1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bottom"/>
          </w:tcPr>
          <w:p w:rsidR="00785D64" w:rsidRPr="008B43F6" w:rsidRDefault="00785D6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b/>
                <w:color w:val="000000"/>
                <w:sz w:val="18"/>
                <w:szCs w:val="18"/>
              </w:rPr>
            </w:pPr>
            <w:r w:rsidRPr="008B43F6">
              <w:rPr>
                <w:rFonts w:cs="Calibri"/>
                <w:b/>
                <w:color w:val="000000"/>
                <w:sz w:val="18"/>
                <w:szCs w:val="18"/>
              </w:rPr>
              <w:t>176,828</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rsidR="00785D64" w:rsidRPr="008B43F6" w:rsidRDefault="00785D6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8B43F6">
              <w:rPr>
                <w:rFonts w:cs="Calibri"/>
                <w:color w:val="000000"/>
                <w:sz w:val="18"/>
                <w:szCs w:val="18"/>
              </w:rPr>
              <w:t>39,846</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rsidR="00785D64" w:rsidRPr="008B43F6" w:rsidRDefault="00785D6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8B43F6">
              <w:rPr>
                <w:rFonts w:cs="Calibri"/>
                <w:color w:val="000000"/>
                <w:sz w:val="18"/>
                <w:szCs w:val="18"/>
              </w:rPr>
              <w:t>43,521</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rsidR="00785D64" w:rsidRPr="008B43F6" w:rsidRDefault="00785D6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8B43F6">
              <w:rPr>
                <w:rFonts w:cs="Calibri"/>
                <w:color w:val="000000"/>
                <w:sz w:val="18"/>
                <w:szCs w:val="18"/>
              </w:rPr>
              <w:t>45,542</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rsidR="00785D64" w:rsidRPr="008B43F6" w:rsidRDefault="00785D6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8B43F6">
              <w:rPr>
                <w:rFonts w:cs="Calibri"/>
                <w:color w:val="000000"/>
                <w:sz w:val="18"/>
                <w:szCs w:val="18"/>
              </w:rPr>
              <w:t>47,919</w:t>
            </w:r>
          </w:p>
        </w:tc>
      </w:tr>
      <w:tr w:rsidR="00785D64" w:rsidRPr="008B43F6" w:rsidTr="00BF0BE8">
        <w:trPr>
          <w:trHeight w:val="42"/>
        </w:trPr>
        <w:tc>
          <w:tcPr>
            <w:cnfStyle w:val="001000000000" w:firstRow="0" w:lastRow="0" w:firstColumn="1" w:lastColumn="0" w:oddVBand="0" w:evenVBand="0" w:oddHBand="0" w:evenHBand="0" w:firstRowFirstColumn="0" w:firstRowLastColumn="0" w:lastRowFirstColumn="0" w:lastRowLastColumn="0"/>
            <w:tcW w:w="1303"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ind w:left="371"/>
              <w:jc w:val="both"/>
              <w:rPr>
                <w:rFonts w:eastAsia="Times New Roman" w:cs="Times New Roman"/>
                <w:b w:val="0"/>
                <w:color w:val="000000"/>
                <w:sz w:val="18"/>
                <w:szCs w:val="18"/>
                <w:lang w:eastAsia="es-MX"/>
              </w:rPr>
            </w:pPr>
          </w:p>
        </w:tc>
        <w:tc>
          <w:tcPr>
            <w:tcW w:w="14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8"/>
                <w:szCs w:val="18"/>
                <w:lang w:eastAsia="es-MX"/>
              </w:rPr>
            </w:pPr>
            <w:r w:rsidRPr="008B43F6">
              <w:rPr>
                <w:rFonts w:eastAsia="Times New Roman" w:cs="Times New Roman"/>
                <w:b/>
                <w:color w:val="000000"/>
                <w:sz w:val="18"/>
                <w:szCs w:val="18"/>
                <w:lang w:eastAsia="es-MX"/>
              </w:rPr>
              <w:t>1B</w:t>
            </w:r>
          </w:p>
        </w:tc>
        <w:tc>
          <w:tcPr>
            <w:tcW w:w="1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bottom"/>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b/>
                <w:color w:val="000000"/>
                <w:sz w:val="18"/>
                <w:szCs w:val="18"/>
              </w:rPr>
            </w:pPr>
            <w:r w:rsidRPr="008B43F6">
              <w:rPr>
                <w:rFonts w:cs="Calibri"/>
                <w:b/>
                <w:color w:val="000000"/>
                <w:sz w:val="18"/>
                <w:szCs w:val="18"/>
              </w:rPr>
              <w:t>342,654</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8B43F6">
              <w:rPr>
                <w:rFonts w:cs="Calibri"/>
                <w:color w:val="000000"/>
                <w:sz w:val="18"/>
                <w:szCs w:val="18"/>
              </w:rPr>
              <w:t>77,211</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8B43F6">
              <w:rPr>
                <w:rFonts w:cs="Calibri"/>
                <w:color w:val="000000"/>
                <w:sz w:val="18"/>
                <w:szCs w:val="18"/>
              </w:rPr>
              <w:t>84,331</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8B43F6">
              <w:rPr>
                <w:rFonts w:cs="Calibri"/>
                <w:color w:val="000000"/>
                <w:sz w:val="18"/>
                <w:szCs w:val="18"/>
              </w:rPr>
              <w:t>88,251</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8B43F6">
              <w:rPr>
                <w:rFonts w:cs="Calibri"/>
                <w:color w:val="000000"/>
                <w:sz w:val="18"/>
                <w:szCs w:val="18"/>
              </w:rPr>
              <w:t>92,861</w:t>
            </w:r>
          </w:p>
        </w:tc>
      </w:tr>
      <w:tr w:rsidR="00785D64" w:rsidRPr="008B43F6" w:rsidTr="00BF0BE8">
        <w:trPr>
          <w:cnfStyle w:val="000000100000" w:firstRow="0" w:lastRow="0" w:firstColumn="0" w:lastColumn="0" w:oddVBand="0" w:evenVBand="0" w:oddHBand="1" w:evenHBand="0" w:firstRowFirstColumn="0" w:firstRowLastColumn="0" w:lastRowFirstColumn="0" w:lastRowLastColumn="0"/>
          <w:trHeight w:val="42"/>
        </w:trPr>
        <w:tc>
          <w:tcPr>
            <w:cnfStyle w:val="001000000000" w:firstRow="0" w:lastRow="0" w:firstColumn="1" w:lastColumn="0" w:oddVBand="0" w:evenVBand="0" w:oddHBand="0" w:evenHBand="0" w:firstRowFirstColumn="0" w:firstRowLastColumn="0" w:lastRowFirstColumn="0" w:lastRowLastColumn="0"/>
            <w:tcW w:w="1303"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ind w:left="371"/>
              <w:jc w:val="both"/>
              <w:rPr>
                <w:rFonts w:eastAsia="Times New Roman" w:cs="Times New Roman"/>
                <w:b w:val="0"/>
                <w:color w:val="000000"/>
                <w:sz w:val="18"/>
                <w:szCs w:val="18"/>
                <w:lang w:eastAsia="es-MX"/>
              </w:rPr>
            </w:pPr>
          </w:p>
        </w:tc>
        <w:tc>
          <w:tcPr>
            <w:tcW w:w="14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8"/>
                <w:szCs w:val="18"/>
                <w:lang w:eastAsia="es-MX"/>
              </w:rPr>
            </w:pPr>
            <w:r w:rsidRPr="008B43F6">
              <w:rPr>
                <w:rFonts w:eastAsia="Times New Roman" w:cs="Times New Roman"/>
                <w:b/>
                <w:color w:val="000000"/>
                <w:sz w:val="18"/>
                <w:szCs w:val="18"/>
                <w:lang w:eastAsia="es-MX"/>
              </w:rPr>
              <w:t>1C</w:t>
            </w:r>
          </w:p>
        </w:tc>
        <w:tc>
          <w:tcPr>
            <w:tcW w:w="1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bottom"/>
          </w:tcPr>
          <w:p w:rsidR="00785D64" w:rsidRPr="008B43F6" w:rsidRDefault="00785D6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b/>
                <w:color w:val="000000"/>
                <w:sz w:val="18"/>
                <w:szCs w:val="18"/>
              </w:rPr>
            </w:pPr>
            <w:r w:rsidRPr="008B43F6">
              <w:rPr>
                <w:rFonts w:cs="Calibri"/>
                <w:b/>
                <w:color w:val="000000"/>
                <w:sz w:val="18"/>
                <w:szCs w:val="18"/>
              </w:rPr>
              <w:t>474,818</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rsidR="00785D64" w:rsidRPr="008B43F6" w:rsidRDefault="00785D6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8B43F6">
              <w:rPr>
                <w:rFonts w:cs="Calibri"/>
                <w:color w:val="000000"/>
                <w:sz w:val="18"/>
                <w:szCs w:val="18"/>
              </w:rPr>
              <w:t>106,992</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rsidR="00785D64" w:rsidRPr="008B43F6" w:rsidRDefault="00785D6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8B43F6">
              <w:rPr>
                <w:rFonts w:cs="Calibri"/>
                <w:color w:val="000000"/>
                <w:sz w:val="18"/>
                <w:szCs w:val="18"/>
              </w:rPr>
              <w:t>116,856</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rsidR="00785D64" w:rsidRPr="008B43F6" w:rsidRDefault="00785D6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8B43F6">
              <w:rPr>
                <w:rFonts w:cs="Calibri"/>
                <w:color w:val="000000"/>
                <w:sz w:val="18"/>
                <w:szCs w:val="18"/>
              </w:rPr>
              <w:t>122,290</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rsidR="00785D64" w:rsidRPr="008B43F6" w:rsidRDefault="00785D6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8B43F6">
              <w:rPr>
                <w:rFonts w:cs="Calibri"/>
                <w:color w:val="000000"/>
                <w:sz w:val="18"/>
                <w:szCs w:val="18"/>
              </w:rPr>
              <w:t>128,680</w:t>
            </w:r>
          </w:p>
        </w:tc>
      </w:tr>
      <w:tr w:rsidR="00785D64" w:rsidRPr="008B43F6" w:rsidTr="00BF0BE8">
        <w:trPr>
          <w:trHeight w:val="42"/>
        </w:trPr>
        <w:tc>
          <w:tcPr>
            <w:cnfStyle w:val="001000000000" w:firstRow="0" w:lastRow="0" w:firstColumn="1" w:lastColumn="0" w:oddVBand="0" w:evenVBand="0" w:oddHBand="0" w:evenHBand="0" w:firstRowFirstColumn="0" w:firstRowLastColumn="0" w:lastRowFirstColumn="0" w:lastRowLastColumn="0"/>
            <w:tcW w:w="1303"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ind w:left="371"/>
              <w:jc w:val="both"/>
              <w:rPr>
                <w:rFonts w:eastAsia="Times New Roman" w:cs="Times New Roman"/>
                <w:b w:val="0"/>
                <w:color w:val="000000"/>
                <w:sz w:val="18"/>
                <w:szCs w:val="18"/>
                <w:lang w:eastAsia="es-MX"/>
              </w:rPr>
            </w:pPr>
          </w:p>
        </w:tc>
        <w:tc>
          <w:tcPr>
            <w:tcW w:w="14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8"/>
                <w:szCs w:val="18"/>
                <w:lang w:eastAsia="es-MX"/>
              </w:rPr>
            </w:pPr>
            <w:r w:rsidRPr="008B43F6">
              <w:rPr>
                <w:rFonts w:eastAsia="Times New Roman" w:cs="Times New Roman"/>
                <w:b/>
                <w:color w:val="000000"/>
                <w:sz w:val="18"/>
                <w:szCs w:val="18"/>
                <w:lang w:eastAsia="es-MX"/>
              </w:rPr>
              <w:t>1D</w:t>
            </w:r>
          </w:p>
        </w:tc>
        <w:tc>
          <w:tcPr>
            <w:tcW w:w="1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bottom"/>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b/>
                <w:color w:val="000000"/>
                <w:sz w:val="18"/>
                <w:szCs w:val="18"/>
              </w:rPr>
            </w:pPr>
            <w:r w:rsidRPr="008B43F6">
              <w:rPr>
                <w:rFonts w:cs="Calibri"/>
                <w:b/>
                <w:color w:val="000000"/>
                <w:sz w:val="18"/>
                <w:szCs w:val="18"/>
              </w:rPr>
              <w:t>111,379</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8B43F6">
              <w:rPr>
                <w:rFonts w:cs="Calibri"/>
                <w:color w:val="000000"/>
                <w:sz w:val="18"/>
                <w:szCs w:val="18"/>
              </w:rPr>
              <w:t>25,099</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8B43F6">
              <w:rPr>
                <w:rFonts w:cs="Calibri"/>
                <w:color w:val="000000"/>
                <w:sz w:val="18"/>
                <w:szCs w:val="18"/>
              </w:rPr>
              <w:t>27,414</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8B43F6">
              <w:rPr>
                <w:rFonts w:cs="Calibri"/>
                <w:color w:val="000000"/>
                <w:sz w:val="18"/>
                <w:szCs w:val="18"/>
              </w:rPr>
              <w:t>28,686</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8B43F6">
              <w:rPr>
                <w:rFonts w:cs="Calibri"/>
                <w:color w:val="000000"/>
                <w:sz w:val="18"/>
                <w:szCs w:val="18"/>
              </w:rPr>
              <w:t>30,180</w:t>
            </w:r>
          </w:p>
        </w:tc>
      </w:tr>
      <w:tr w:rsidR="00785D64" w:rsidRPr="008B43F6" w:rsidTr="00BF0BE8">
        <w:trPr>
          <w:cnfStyle w:val="000000100000" w:firstRow="0" w:lastRow="0" w:firstColumn="0" w:lastColumn="0" w:oddVBand="0" w:evenVBand="0" w:oddHBand="1" w:evenHBand="0" w:firstRowFirstColumn="0" w:firstRowLastColumn="0" w:lastRowFirstColumn="0" w:lastRowLastColumn="0"/>
          <w:trHeight w:val="42"/>
        </w:trPr>
        <w:tc>
          <w:tcPr>
            <w:cnfStyle w:val="001000000000" w:firstRow="0" w:lastRow="0" w:firstColumn="1" w:lastColumn="0" w:oddVBand="0" w:evenVBand="0" w:oddHBand="0" w:evenHBand="0" w:firstRowFirstColumn="0" w:firstRowLastColumn="0" w:lastRowFirstColumn="0" w:lastRowLastColumn="0"/>
            <w:tcW w:w="1303"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ind w:left="371"/>
              <w:jc w:val="both"/>
              <w:rPr>
                <w:rFonts w:eastAsia="Times New Roman" w:cs="Times New Roman"/>
                <w:b w:val="0"/>
                <w:color w:val="000000"/>
                <w:sz w:val="18"/>
                <w:szCs w:val="18"/>
                <w:lang w:eastAsia="es-MX"/>
              </w:rPr>
            </w:pPr>
          </w:p>
        </w:tc>
        <w:tc>
          <w:tcPr>
            <w:tcW w:w="14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8"/>
                <w:szCs w:val="18"/>
                <w:lang w:eastAsia="es-MX"/>
              </w:rPr>
            </w:pPr>
            <w:r w:rsidRPr="008B43F6">
              <w:rPr>
                <w:rFonts w:eastAsia="Times New Roman" w:cs="Times New Roman"/>
                <w:b/>
                <w:color w:val="000000"/>
                <w:sz w:val="18"/>
                <w:szCs w:val="18"/>
                <w:lang w:eastAsia="es-MX"/>
              </w:rPr>
              <w:t>1E</w:t>
            </w:r>
          </w:p>
        </w:tc>
        <w:tc>
          <w:tcPr>
            <w:tcW w:w="1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bottom"/>
          </w:tcPr>
          <w:p w:rsidR="00785D64" w:rsidRPr="008B43F6" w:rsidRDefault="00785D6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b/>
                <w:color w:val="000000"/>
                <w:sz w:val="18"/>
                <w:szCs w:val="18"/>
              </w:rPr>
            </w:pPr>
            <w:r w:rsidRPr="008B43F6">
              <w:rPr>
                <w:rFonts w:cs="Calibri"/>
                <w:b/>
                <w:color w:val="000000"/>
                <w:sz w:val="18"/>
                <w:szCs w:val="18"/>
              </w:rPr>
              <w:t>101,759</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rsidR="00785D64" w:rsidRPr="008B43F6" w:rsidRDefault="00785D6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8B43F6">
              <w:rPr>
                <w:rFonts w:cs="Calibri"/>
                <w:color w:val="000000"/>
                <w:sz w:val="18"/>
                <w:szCs w:val="18"/>
              </w:rPr>
              <w:t>22,931</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rsidR="00785D64" w:rsidRPr="008B43F6" w:rsidRDefault="00785D6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8B43F6">
              <w:rPr>
                <w:rFonts w:cs="Calibri"/>
                <w:color w:val="000000"/>
                <w:sz w:val="18"/>
                <w:szCs w:val="18"/>
              </w:rPr>
              <w:t>25,047</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rsidR="00785D64" w:rsidRPr="008B43F6" w:rsidRDefault="00785D6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8B43F6">
              <w:rPr>
                <w:rFonts w:cs="Calibri"/>
                <w:color w:val="000000"/>
                <w:sz w:val="18"/>
                <w:szCs w:val="18"/>
              </w:rPr>
              <w:t>26,208</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rsidR="00785D64" w:rsidRPr="008B43F6" w:rsidRDefault="00785D6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8B43F6">
              <w:rPr>
                <w:rFonts w:cs="Calibri"/>
                <w:color w:val="000000"/>
                <w:sz w:val="18"/>
                <w:szCs w:val="18"/>
              </w:rPr>
              <w:t>27,573</w:t>
            </w:r>
          </w:p>
        </w:tc>
      </w:tr>
      <w:tr w:rsidR="00785D64" w:rsidRPr="008B43F6" w:rsidTr="00BF0BE8">
        <w:trPr>
          <w:trHeight w:val="42"/>
        </w:trPr>
        <w:tc>
          <w:tcPr>
            <w:cnfStyle w:val="001000000000" w:firstRow="0" w:lastRow="0" w:firstColumn="1" w:lastColumn="0" w:oddVBand="0" w:evenVBand="0" w:oddHBand="0" w:evenHBand="0" w:firstRowFirstColumn="0" w:firstRowLastColumn="0" w:lastRowFirstColumn="0" w:lastRowLastColumn="0"/>
            <w:tcW w:w="1303"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ind w:left="371"/>
              <w:jc w:val="both"/>
              <w:rPr>
                <w:rFonts w:eastAsia="Times New Roman" w:cs="Times New Roman"/>
                <w:b w:val="0"/>
                <w:color w:val="000000"/>
                <w:sz w:val="18"/>
                <w:szCs w:val="18"/>
                <w:lang w:eastAsia="es-MX"/>
              </w:rPr>
            </w:pPr>
          </w:p>
        </w:tc>
        <w:tc>
          <w:tcPr>
            <w:tcW w:w="14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8"/>
                <w:szCs w:val="18"/>
                <w:lang w:eastAsia="es-MX"/>
              </w:rPr>
            </w:pPr>
            <w:r w:rsidRPr="008B43F6">
              <w:rPr>
                <w:rFonts w:eastAsia="Times New Roman" w:cs="Times New Roman"/>
                <w:b/>
                <w:color w:val="000000"/>
                <w:sz w:val="18"/>
                <w:szCs w:val="18"/>
                <w:lang w:eastAsia="es-MX"/>
              </w:rPr>
              <w:t>1F</w:t>
            </w:r>
          </w:p>
        </w:tc>
        <w:tc>
          <w:tcPr>
            <w:tcW w:w="14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bottom"/>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b/>
                <w:color w:val="000000"/>
                <w:sz w:val="18"/>
                <w:szCs w:val="18"/>
              </w:rPr>
            </w:pPr>
            <w:r w:rsidRPr="008B43F6">
              <w:rPr>
                <w:rFonts w:cs="Calibri"/>
                <w:b/>
                <w:color w:val="000000"/>
                <w:sz w:val="18"/>
                <w:szCs w:val="18"/>
              </w:rPr>
              <w:t>117,609</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8B43F6">
              <w:rPr>
                <w:rFonts w:cs="Calibri"/>
                <w:color w:val="000000"/>
                <w:sz w:val="18"/>
                <w:szCs w:val="18"/>
              </w:rPr>
              <w:t>26,503</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8B43F6">
              <w:rPr>
                <w:rFonts w:cs="Calibri"/>
                <w:color w:val="000000"/>
                <w:sz w:val="18"/>
                <w:szCs w:val="18"/>
              </w:rPr>
              <w:t>28,947</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8B43F6">
              <w:rPr>
                <w:rFonts w:cs="Calibri"/>
                <w:color w:val="000000"/>
                <w:sz w:val="18"/>
                <w:szCs w:val="18"/>
              </w:rPr>
              <w:t>30,290</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rsidR="00785D64" w:rsidRPr="008B43F6" w:rsidRDefault="00785D64"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8B43F6">
              <w:rPr>
                <w:rFonts w:cs="Calibri"/>
                <w:color w:val="000000"/>
                <w:sz w:val="18"/>
                <w:szCs w:val="18"/>
              </w:rPr>
              <w:t>31,869</w:t>
            </w:r>
          </w:p>
        </w:tc>
      </w:tr>
    </w:tbl>
    <w:p w:rsidR="00251C87" w:rsidRPr="003E5840" w:rsidRDefault="005764E6" w:rsidP="00C12621">
      <w:pPr>
        <w:pStyle w:val="Ttulo2"/>
        <w:jc w:val="both"/>
        <w:rPr>
          <w:rFonts w:asciiTheme="minorHAnsi" w:hAnsiTheme="minorHAnsi"/>
        </w:rPr>
      </w:pPr>
      <w:r w:rsidRPr="008B43F6">
        <w:rPr>
          <w:color w:val="1F497D" w:themeColor="text2"/>
        </w:rPr>
        <w:br w:type="page"/>
      </w:r>
    </w:p>
    <w:p w:rsidR="005C7E01" w:rsidRPr="008B43F6" w:rsidRDefault="00473950" w:rsidP="00C12621">
      <w:pPr>
        <w:pStyle w:val="Ttulo1"/>
        <w:numPr>
          <w:ilvl w:val="0"/>
          <w:numId w:val="18"/>
        </w:numPr>
        <w:jc w:val="both"/>
        <w:rPr>
          <w:rFonts w:asciiTheme="minorHAnsi" w:hAnsiTheme="minorHAnsi"/>
        </w:rPr>
      </w:pPr>
      <w:bookmarkStart w:id="82" w:name="_Toc350874987"/>
      <w:bookmarkStart w:id="83" w:name="_Toc351397599"/>
      <w:r w:rsidRPr="008B43F6">
        <w:rPr>
          <w:rFonts w:asciiTheme="minorHAnsi" w:hAnsiTheme="minorHAnsi"/>
        </w:rPr>
        <w:lastRenderedPageBreak/>
        <w:t>Cuantificación de co-beneficios</w:t>
      </w:r>
      <w:bookmarkEnd w:id="82"/>
      <w:bookmarkEnd w:id="83"/>
    </w:p>
    <w:p w:rsidR="00D06B33" w:rsidRPr="008B43F6" w:rsidRDefault="005764E6" w:rsidP="00C12621">
      <w:pPr>
        <w:pStyle w:val="Ttulo2"/>
        <w:jc w:val="both"/>
        <w:rPr>
          <w:rFonts w:asciiTheme="minorHAnsi" w:hAnsiTheme="minorHAnsi"/>
          <w:color w:val="auto"/>
        </w:rPr>
      </w:pPr>
      <w:bookmarkStart w:id="84" w:name="_Toc350874988"/>
      <w:bookmarkStart w:id="85" w:name="_Toc351397600"/>
      <w:r w:rsidRPr="008B43F6">
        <w:rPr>
          <w:rFonts w:asciiTheme="minorHAnsi" w:hAnsiTheme="minorHAnsi"/>
        </w:rPr>
        <w:t xml:space="preserve">6.1 </w:t>
      </w:r>
      <w:r w:rsidR="00D06B33" w:rsidRPr="008B43F6">
        <w:rPr>
          <w:rFonts w:asciiTheme="minorHAnsi" w:hAnsiTheme="minorHAnsi"/>
        </w:rPr>
        <w:t>Impactos por hogar</w:t>
      </w:r>
      <w:bookmarkEnd w:id="84"/>
      <w:bookmarkEnd w:id="85"/>
    </w:p>
    <w:p w:rsidR="00772765" w:rsidRPr="008B43F6" w:rsidRDefault="00BF0BE8" w:rsidP="00C12621">
      <w:pPr>
        <w:jc w:val="both"/>
      </w:pPr>
      <w:r w:rsidRPr="008B43F6">
        <w:t>Un programa de vivienda sustentable en el país tendría los siguientes impactos a nivel de vivienda, para todas las familias que participen en el programa:</w:t>
      </w:r>
    </w:p>
    <w:p w:rsidR="00D06B33" w:rsidRPr="008B43F6" w:rsidRDefault="00307DB9" w:rsidP="00C12621">
      <w:pPr>
        <w:pStyle w:val="Prrafodelista"/>
        <w:numPr>
          <w:ilvl w:val="0"/>
          <w:numId w:val="10"/>
        </w:numPr>
        <w:jc w:val="both"/>
      </w:pPr>
      <w:r w:rsidRPr="008B43F6">
        <w:t xml:space="preserve">Ahorro promedio anual en electricidad que va desde 357 kWh para el decil III en la Región 1, hasta 2,301 kWh para el decil VI en la región 1F, que cuenta con el clima más extremoso del país (Tabla </w:t>
      </w:r>
      <w:r w:rsidR="00E75797" w:rsidRPr="008B43F6">
        <w:t>6.1</w:t>
      </w:r>
      <w:r w:rsidRPr="008B43F6">
        <w:t>).</w:t>
      </w:r>
    </w:p>
    <w:p w:rsidR="00307DB9" w:rsidRPr="008B43F6" w:rsidRDefault="00307DB9" w:rsidP="00C12621">
      <w:pPr>
        <w:pStyle w:val="Prrafodelista"/>
        <w:ind w:left="1065"/>
        <w:jc w:val="both"/>
      </w:pPr>
    </w:p>
    <w:p w:rsidR="00307DB9" w:rsidRPr="008B43F6" w:rsidRDefault="00307DB9" w:rsidP="00C12621">
      <w:pPr>
        <w:pStyle w:val="Prrafodelista"/>
        <w:spacing w:after="0"/>
        <w:ind w:left="1065"/>
        <w:jc w:val="both"/>
        <w:rPr>
          <w:b/>
          <w:sz w:val="18"/>
          <w:szCs w:val="18"/>
        </w:rPr>
      </w:pPr>
      <w:r w:rsidRPr="008B43F6">
        <w:rPr>
          <w:b/>
          <w:sz w:val="18"/>
          <w:szCs w:val="18"/>
        </w:rPr>
        <w:t xml:space="preserve">Tabla </w:t>
      </w:r>
      <w:r w:rsidR="00165CC7" w:rsidRPr="008B43F6">
        <w:rPr>
          <w:b/>
          <w:sz w:val="18"/>
          <w:szCs w:val="18"/>
        </w:rPr>
        <w:t xml:space="preserve">6.1 </w:t>
      </w:r>
      <w:r w:rsidRPr="008B43F6">
        <w:rPr>
          <w:sz w:val="18"/>
          <w:szCs w:val="18"/>
        </w:rPr>
        <w:t>Ahorro promedio de electricidad por hogar por decil de ingreso</w:t>
      </w:r>
      <w:r w:rsidR="007E2721" w:rsidRPr="008B43F6">
        <w:rPr>
          <w:sz w:val="18"/>
          <w:szCs w:val="18"/>
        </w:rPr>
        <w:t xml:space="preserve"> </w:t>
      </w:r>
      <w:r w:rsidR="00BF0BE8" w:rsidRPr="008B43F6">
        <w:rPr>
          <w:sz w:val="18"/>
          <w:szCs w:val="18"/>
        </w:rPr>
        <w:t xml:space="preserve">por </w:t>
      </w:r>
      <w:r w:rsidR="007E2721" w:rsidRPr="008B43F6">
        <w:rPr>
          <w:sz w:val="18"/>
          <w:szCs w:val="18"/>
        </w:rPr>
        <w:t>región</w:t>
      </w:r>
      <w:r w:rsidR="00BF0BE8" w:rsidRPr="008B43F6">
        <w:rPr>
          <w:sz w:val="18"/>
          <w:szCs w:val="18"/>
        </w:rPr>
        <w:t xml:space="preserve"> climática</w:t>
      </w:r>
    </w:p>
    <w:tbl>
      <w:tblPr>
        <w:tblStyle w:val="Listaclara-nfasis1"/>
        <w:tblW w:w="539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04"/>
        <w:gridCol w:w="997"/>
        <w:gridCol w:w="997"/>
        <w:gridCol w:w="997"/>
        <w:gridCol w:w="997"/>
      </w:tblGrid>
      <w:tr w:rsidR="00BF0BE8" w:rsidRPr="008B43F6" w:rsidTr="00BF0BE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04" w:type="dxa"/>
            <w:vMerge w:val="restart"/>
          </w:tcPr>
          <w:p w:rsidR="00772765" w:rsidRPr="008B43F6" w:rsidRDefault="00772765" w:rsidP="00C12621">
            <w:pPr>
              <w:spacing w:line="276" w:lineRule="auto"/>
              <w:ind w:left="371"/>
              <w:jc w:val="both"/>
              <w:rPr>
                <w:rFonts w:eastAsia="Times New Roman" w:cs="Times New Roman"/>
                <w:sz w:val="18"/>
                <w:szCs w:val="18"/>
                <w:lang w:eastAsia="es-MX"/>
              </w:rPr>
            </w:pPr>
            <w:r w:rsidRPr="008B43F6">
              <w:rPr>
                <w:rFonts w:eastAsia="Times New Roman" w:cs="Times New Roman"/>
                <w:sz w:val="18"/>
                <w:szCs w:val="18"/>
                <w:lang w:eastAsia="es-MX"/>
              </w:rPr>
              <w:t>Región</w:t>
            </w:r>
          </w:p>
        </w:tc>
        <w:tc>
          <w:tcPr>
            <w:tcW w:w="3988" w:type="dxa"/>
            <w:gridSpan w:val="4"/>
          </w:tcPr>
          <w:p w:rsidR="00772765" w:rsidRPr="008B43F6" w:rsidRDefault="00772765" w:rsidP="00C12621">
            <w:pPr>
              <w:spacing w:line="276" w:lineRule="auto"/>
              <w:ind w:left="371"/>
              <w:jc w:val="both"/>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8B43F6">
              <w:rPr>
                <w:rFonts w:eastAsia="Times New Roman" w:cs="Times New Roman"/>
                <w:sz w:val="18"/>
                <w:szCs w:val="18"/>
                <w:lang w:eastAsia="es-MX"/>
              </w:rPr>
              <w:t>Ahorro de electricidad por hogar (kWh)</w:t>
            </w:r>
          </w:p>
        </w:tc>
      </w:tr>
      <w:tr w:rsidR="00BF0BE8" w:rsidRPr="008B43F6" w:rsidTr="00BF0BE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04" w:type="dxa"/>
            <w:vMerge/>
            <w:tcBorders>
              <w:top w:val="none" w:sz="0" w:space="0" w:color="auto"/>
              <w:left w:val="none" w:sz="0" w:space="0" w:color="auto"/>
              <w:bottom w:val="none" w:sz="0" w:space="0" w:color="auto"/>
            </w:tcBorders>
            <w:shd w:val="clear" w:color="auto" w:fill="4F81BD" w:themeFill="accent1"/>
          </w:tcPr>
          <w:p w:rsidR="00772765" w:rsidRPr="008B43F6" w:rsidRDefault="00772765" w:rsidP="00C12621">
            <w:pPr>
              <w:spacing w:line="276" w:lineRule="auto"/>
              <w:ind w:left="371"/>
              <w:jc w:val="both"/>
              <w:rPr>
                <w:rFonts w:eastAsia="Times New Roman" w:cs="Times New Roman"/>
                <w:b w:val="0"/>
                <w:color w:val="FFFFFF" w:themeColor="background1"/>
                <w:sz w:val="18"/>
                <w:szCs w:val="18"/>
                <w:lang w:eastAsia="es-MX"/>
              </w:rPr>
            </w:pPr>
          </w:p>
        </w:tc>
        <w:tc>
          <w:tcPr>
            <w:tcW w:w="997" w:type="dxa"/>
            <w:tcBorders>
              <w:top w:val="none" w:sz="0" w:space="0" w:color="auto"/>
              <w:bottom w:val="none" w:sz="0" w:space="0" w:color="auto"/>
            </w:tcBorders>
            <w:shd w:val="clear" w:color="auto" w:fill="4F81BD" w:themeFill="accent1"/>
          </w:tcPr>
          <w:p w:rsidR="00772765" w:rsidRPr="008B43F6" w:rsidRDefault="00772765" w:rsidP="00C12621">
            <w:pPr>
              <w:spacing w:line="276" w:lineRule="auto"/>
              <w:ind w:left="371"/>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color w:val="FFFFFF" w:themeColor="background1"/>
                <w:sz w:val="18"/>
                <w:szCs w:val="18"/>
                <w:lang w:eastAsia="es-MX"/>
              </w:rPr>
            </w:pPr>
            <w:r w:rsidRPr="008B43F6">
              <w:rPr>
                <w:rFonts w:eastAsia="Times New Roman" w:cs="Times New Roman"/>
                <w:b/>
                <w:color w:val="FFFFFF" w:themeColor="background1"/>
                <w:sz w:val="18"/>
                <w:szCs w:val="18"/>
                <w:lang w:eastAsia="es-MX"/>
              </w:rPr>
              <w:t>III</w:t>
            </w:r>
          </w:p>
        </w:tc>
        <w:tc>
          <w:tcPr>
            <w:tcW w:w="997" w:type="dxa"/>
            <w:tcBorders>
              <w:top w:val="none" w:sz="0" w:space="0" w:color="auto"/>
              <w:bottom w:val="none" w:sz="0" w:space="0" w:color="auto"/>
            </w:tcBorders>
            <w:shd w:val="clear" w:color="auto" w:fill="4F81BD" w:themeFill="accent1"/>
          </w:tcPr>
          <w:p w:rsidR="00772765" w:rsidRPr="008B43F6" w:rsidRDefault="00772765" w:rsidP="00C12621">
            <w:pPr>
              <w:spacing w:line="276" w:lineRule="auto"/>
              <w:ind w:left="371"/>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color w:val="FFFFFF" w:themeColor="background1"/>
                <w:sz w:val="18"/>
                <w:szCs w:val="18"/>
                <w:lang w:eastAsia="es-MX"/>
              </w:rPr>
            </w:pPr>
            <w:r w:rsidRPr="008B43F6">
              <w:rPr>
                <w:rFonts w:eastAsia="Times New Roman" w:cs="Times New Roman"/>
                <w:b/>
                <w:color w:val="FFFFFF" w:themeColor="background1"/>
                <w:sz w:val="18"/>
                <w:szCs w:val="18"/>
                <w:lang w:eastAsia="es-MX"/>
              </w:rPr>
              <w:t>IV</w:t>
            </w:r>
          </w:p>
        </w:tc>
        <w:tc>
          <w:tcPr>
            <w:tcW w:w="997" w:type="dxa"/>
            <w:tcBorders>
              <w:top w:val="none" w:sz="0" w:space="0" w:color="auto"/>
              <w:bottom w:val="none" w:sz="0" w:space="0" w:color="auto"/>
            </w:tcBorders>
            <w:shd w:val="clear" w:color="auto" w:fill="4F81BD" w:themeFill="accent1"/>
          </w:tcPr>
          <w:p w:rsidR="00772765" w:rsidRPr="008B43F6" w:rsidRDefault="00772765" w:rsidP="00C12621">
            <w:pPr>
              <w:spacing w:line="276" w:lineRule="auto"/>
              <w:ind w:left="371"/>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color w:val="FFFFFF" w:themeColor="background1"/>
                <w:sz w:val="18"/>
                <w:szCs w:val="18"/>
                <w:lang w:eastAsia="es-MX"/>
              </w:rPr>
            </w:pPr>
            <w:r w:rsidRPr="008B43F6">
              <w:rPr>
                <w:rFonts w:eastAsia="Times New Roman" w:cs="Times New Roman"/>
                <w:b/>
                <w:color w:val="FFFFFF" w:themeColor="background1"/>
                <w:sz w:val="18"/>
                <w:szCs w:val="18"/>
                <w:lang w:eastAsia="es-MX"/>
              </w:rPr>
              <w:t>V</w:t>
            </w:r>
          </w:p>
        </w:tc>
        <w:tc>
          <w:tcPr>
            <w:tcW w:w="997" w:type="dxa"/>
            <w:tcBorders>
              <w:top w:val="none" w:sz="0" w:space="0" w:color="auto"/>
              <w:bottom w:val="none" w:sz="0" w:space="0" w:color="auto"/>
              <w:right w:val="none" w:sz="0" w:space="0" w:color="auto"/>
            </w:tcBorders>
            <w:shd w:val="clear" w:color="auto" w:fill="4F81BD" w:themeFill="accent1"/>
          </w:tcPr>
          <w:p w:rsidR="00772765" w:rsidRPr="008B43F6" w:rsidRDefault="00772765" w:rsidP="00C12621">
            <w:pPr>
              <w:spacing w:line="276" w:lineRule="auto"/>
              <w:ind w:left="371"/>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color w:val="FFFFFF" w:themeColor="background1"/>
                <w:sz w:val="18"/>
                <w:szCs w:val="18"/>
                <w:lang w:eastAsia="es-MX"/>
              </w:rPr>
            </w:pPr>
            <w:r w:rsidRPr="008B43F6">
              <w:rPr>
                <w:rFonts w:eastAsia="Times New Roman" w:cs="Times New Roman"/>
                <w:b/>
                <w:color w:val="FFFFFF" w:themeColor="background1"/>
                <w:sz w:val="18"/>
                <w:szCs w:val="18"/>
                <w:lang w:eastAsia="es-MX"/>
              </w:rPr>
              <w:t>VI</w:t>
            </w:r>
          </w:p>
        </w:tc>
      </w:tr>
      <w:tr w:rsidR="00BF0BE8" w:rsidRPr="008B43F6" w:rsidTr="00BF0BE8">
        <w:trPr>
          <w:trHeight w:val="48"/>
          <w:jc w:val="center"/>
        </w:trPr>
        <w:tc>
          <w:tcPr>
            <w:cnfStyle w:val="001000000000" w:firstRow="0" w:lastRow="0" w:firstColumn="1" w:lastColumn="0" w:oddVBand="0" w:evenVBand="0" w:oddHBand="0" w:evenHBand="0" w:firstRowFirstColumn="0" w:firstRowLastColumn="0" w:lastRowFirstColumn="0" w:lastRowLastColumn="0"/>
            <w:tcW w:w="1404" w:type="dxa"/>
            <w:shd w:val="clear" w:color="auto" w:fill="FFFFFF" w:themeFill="background1"/>
          </w:tcPr>
          <w:p w:rsidR="00772765" w:rsidRPr="008B43F6" w:rsidRDefault="00772765" w:rsidP="00C12621">
            <w:pPr>
              <w:spacing w:line="276" w:lineRule="auto"/>
              <w:jc w:val="both"/>
              <w:rPr>
                <w:rFonts w:eastAsia="Times New Roman" w:cs="Times New Roman"/>
                <w:sz w:val="18"/>
                <w:szCs w:val="18"/>
                <w:lang w:eastAsia="es-MX"/>
              </w:rPr>
            </w:pPr>
            <w:r w:rsidRPr="008B43F6">
              <w:rPr>
                <w:rFonts w:eastAsia="Times New Roman" w:cs="Times New Roman"/>
                <w:sz w:val="18"/>
                <w:szCs w:val="18"/>
                <w:lang w:eastAsia="es-MX"/>
              </w:rPr>
              <w:t>1</w:t>
            </w:r>
          </w:p>
        </w:tc>
        <w:tc>
          <w:tcPr>
            <w:tcW w:w="997" w:type="dxa"/>
            <w:shd w:val="clear" w:color="auto" w:fill="FFFFFF" w:themeFill="background1"/>
            <w:vAlign w:val="bottom"/>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8B43F6">
              <w:rPr>
                <w:rFonts w:cs="Calibri"/>
                <w:sz w:val="18"/>
                <w:szCs w:val="18"/>
              </w:rPr>
              <w:t>357</w:t>
            </w:r>
          </w:p>
        </w:tc>
        <w:tc>
          <w:tcPr>
            <w:tcW w:w="997" w:type="dxa"/>
            <w:shd w:val="clear" w:color="auto" w:fill="FFFFFF" w:themeFill="background1"/>
            <w:vAlign w:val="bottom"/>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8B43F6">
              <w:rPr>
                <w:rFonts w:cs="Calibri"/>
                <w:sz w:val="18"/>
                <w:szCs w:val="18"/>
              </w:rPr>
              <w:t>421</w:t>
            </w:r>
          </w:p>
        </w:tc>
        <w:tc>
          <w:tcPr>
            <w:tcW w:w="997" w:type="dxa"/>
            <w:shd w:val="clear" w:color="auto" w:fill="FFFFFF" w:themeFill="background1"/>
            <w:vAlign w:val="bottom"/>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8B43F6">
              <w:rPr>
                <w:rFonts w:cs="Calibri"/>
                <w:sz w:val="18"/>
                <w:szCs w:val="18"/>
              </w:rPr>
              <w:t>497</w:t>
            </w:r>
          </w:p>
        </w:tc>
        <w:tc>
          <w:tcPr>
            <w:tcW w:w="997" w:type="dxa"/>
            <w:shd w:val="clear" w:color="auto" w:fill="FFFFFF" w:themeFill="background1"/>
            <w:vAlign w:val="bottom"/>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8B43F6">
              <w:rPr>
                <w:rFonts w:cs="Calibri"/>
                <w:sz w:val="18"/>
                <w:szCs w:val="18"/>
              </w:rPr>
              <w:t>587</w:t>
            </w:r>
          </w:p>
        </w:tc>
      </w:tr>
      <w:tr w:rsidR="00BF0BE8" w:rsidRPr="008B43F6" w:rsidTr="00BF0BE8">
        <w:trPr>
          <w:cnfStyle w:val="000000100000" w:firstRow="0" w:lastRow="0" w:firstColumn="0" w:lastColumn="0" w:oddVBand="0" w:evenVBand="0" w:oddHBand="1" w:evenHBand="0" w:firstRowFirstColumn="0" w:firstRowLastColumn="0" w:lastRowFirstColumn="0" w:lastRowLastColumn="0"/>
          <w:trHeight w:val="42"/>
          <w:jc w:val="center"/>
        </w:trPr>
        <w:tc>
          <w:tcPr>
            <w:cnfStyle w:val="001000000000" w:firstRow="0" w:lastRow="0" w:firstColumn="1" w:lastColumn="0" w:oddVBand="0" w:evenVBand="0" w:oddHBand="0" w:evenHBand="0" w:firstRowFirstColumn="0" w:firstRowLastColumn="0" w:lastRowFirstColumn="0" w:lastRowLastColumn="0"/>
            <w:tcW w:w="1404" w:type="dxa"/>
            <w:tcBorders>
              <w:top w:val="none" w:sz="0" w:space="0" w:color="auto"/>
              <w:left w:val="none" w:sz="0" w:space="0" w:color="auto"/>
              <w:bottom w:val="none" w:sz="0" w:space="0" w:color="auto"/>
            </w:tcBorders>
            <w:shd w:val="clear" w:color="auto" w:fill="FFFFFF" w:themeFill="background1"/>
          </w:tcPr>
          <w:p w:rsidR="00772765" w:rsidRPr="008B43F6" w:rsidRDefault="00772765" w:rsidP="00C12621">
            <w:pPr>
              <w:spacing w:line="276" w:lineRule="auto"/>
              <w:jc w:val="both"/>
              <w:rPr>
                <w:rFonts w:eastAsia="Times New Roman" w:cs="Times New Roman"/>
                <w:sz w:val="18"/>
                <w:szCs w:val="18"/>
                <w:lang w:eastAsia="es-MX"/>
              </w:rPr>
            </w:pPr>
            <w:r w:rsidRPr="008B43F6">
              <w:rPr>
                <w:rFonts w:eastAsia="Times New Roman" w:cs="Times New Roman"/>
                <w:sz w:val="18"/>
                <w:szCs w:val="18"/>
                <w:lang w:eastAsia="es-MX"/>
              </w:rPr>
              <w:t>1A</w:t>
            </w:r>
          </w:p>
        </w:tc>
        <w:tc>
          <w:tcPr>
            <w:tcW w:w="997" w:type="dxa"/>
            <w:tcBorders>
              <w:top w:val="none" w:sz="0" w:space="0" w:color="auto"/>
              <w:bottom w:val="none" w:sz="0" w:space="0" w:color="auto"/>
            </w:tcBorders>
            <w:shd w:val="clear" w:color="auto" w:fill="FFFFFF" w:themeFill="background1"/>
            <w:vAlign w:val="bottom"/>
          </w:tcPr>
          <w:p w:rsidR="00772765" w:rsidRPr="008B43F6" w:rsidRDefault="00772765"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sz w:val="18"/>
                <w:szCs w:val="18"/>
              </w:rPr>
            </w:pPr>
            <w:r w:rsidRPr="008B43F6">
              <w:rPr>
                <w:rFonts w:cs="Calibri"/>
                <w:sz w:val="18"/>
                <w:szCs w:val="18"/>
              </w:rPr>
              <w:t>386</w:t>
            </w:r>
          </w:p>
        </w:tc>
        <w:tc>
          <w:tcPr>
            <w:tcW w:w="997" w:type="dxa"/>
            <w:tcBorders>
              <w:top w:val="none" w:sz="0" w:space="0" w:color="auto"/>
              <w:bottom w:val="none" w:sz="0" w:space="0" w:color="auto"/>
            </w:tcBorders>
            <w:shd w:val="clear" w:color="auto" w:fill="FFFFFF" w:themeFill="background1"/>
            <w:vAlign w:val="bottom"/>
          </w:tcPr>
          <w:p w:rsidR="00772765" w:rsidRPr="008B43F6" w:rsidRDefault="00772765"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sz w:val="18"/>
                <w:szCs w:val="18"/>
              </w:rPr>
            </w:pPr>
            <w:r w:rsidRPr="008B43F6">
              <w:rPr>
                <w:rFonts w:cs="Calibri"/>
                <w:sz w:val="18"/>
                <w:szCs w:val="18"/>
              </w:rPr>
              <w:t>456</w:t>
            </w:r>
          </w:p>
        </w:tc>
        <w:tc>
          <w:tcPr>
            <w:tcW w:w="997" w:type="dxa"/>
            <w:tcBorders>
              <w:top w:val="none" w:sz="0" w:space="0" w:color="auto"/>
              <w:bottom w:val="none" w:sz="0" w:space="0" w:color="auto"/>
            </w:tcBorders>
            <w:shd w:val="clear" w:color="auto" w:fill="FFFFFF" w:themeFill="background1"/>
            <w:vAlign w:val="bottom"/>
          </w:tcPr>
          <w:p w:rsidR="00772765" w:rsidRPr="008B43F6" w:rsidRDefault="00772765"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sz w:val="18"/>
                <w:szCs w:val="18"/>
              </w:rPr>
            </w:pPr>
            <w:r w:rsidRPr="008B43F6">
              <w:rPr>
                <w:rFonts w:cs="Calibri"/>
                <w:sz w:val="18"/>
                <w:szCs w:val="18"/>
              </w:rPr>
              <w:t>538</w:t>
            </w:r>
          </w:p>
        </w:tc>
        <w:tc>
          <w:tcPr>
            <w:tcW w:w="997" w:type="dxa"/>
            <w:tcBorders>
              <w:top w:val="none" w:sz="0" w:space="0" w:color="auto"/>
              <w:bottom w:val="none" w:sz="0" w:space="0" w:color="auto"/>
              <w:right w:val="none" w:sz="0" w:space="0" w:color="auto"/>
            </w:tcBorders>
            <w:shd w:val="clear" w:color="auto" w:fill="FFFFFF" w:themeFill="background1"/>
            <w:vAlign w:val="bottom"/>
          </w:tcPr>
          <w:p w:rsidR="00772765" w:rsidRPr="008B43F6" w:rsidRDefault="00772765"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sz w:val="18"/>
                <w:szCs w:val="18"/>
              </w:rPr>
            </w:pPr>
            <w:r w:rsidRPr="008B43F6">
              <w:rPr>
                <w:rFonts w:cs="Calibri"/>
                <w:sz w:val="18"/>
                <w:szCs w:val="18"/>
              </w:rPr>
              <w:t>635</w:t>
            </w:r>
          </w:p>
        </w:tc>
      </w:tr>
      <w:tr w:rsidR="00BF0BE8" w:rsidRPr="008B43F6" w:rsidTr="00BF0BE8">
        <w:trPr>
          <w:trHeight w:val="42"/>
          <w:jc w:val="center"/>
        </w:trPr>
        <w:tc>
          <w:tcPr>
            <w:cnfStyle w:val="001000000000" w:firstRow="0" w:lastRow="0" w:firstColumn="1" w:lastColumn="0" w:oddVBand="0" w:evenVBand="0" w:oddHBand="0" w:evenHBand="0" w:firstRowFirstColumn="0" w:firstRowLastColumn="0" w:lastRowFirstColumn="0" w:lastRowLastColumn="0"/>
            <w:tcW w:w="1404" w:type="dxa"/>
            <w:shd w:val="clear" w:color="auto" w:fill="FFFFFF" w:themeFill="background1"/>
          </w:tcPr>
          <w:p w:rsidR="00772765" w:rsidRPr="008B43F6" w:rsidRDefault="00772765" w:rsidP="00C12621">
            <w:pPr>
              <w:spacing w:line="276" w:lineRule="auto"/>
              <w:jc w:val="both"/>
              <w:rPr>
                <w:rFonts w:eastAsia="Times New Roman" w:cs="Times New Roman"/>
                <w:sz w:val="18"/>
                <w:szCs w:val="18"/>
                <w:lang w:eastAsia="es-MX"/>
              </w:rPr>
            </w:pPr>
            <w:r w:rsidRPr="008B43F6">
              <w:rPr>
                <w:rFonts w:eastAsia="Times New Roman" w:cs="Times New Roman"/>
                <w:sz w:val="18"/>
                <w:szCs w:val="18"/>
                <w:lang w:eastAsia="es-MX"/>
              </w:rPr>
              <w:t>1B</w:t>
            </w:r>
          </w:p>
        </w:tc>
        <w:tc>
          <w:tcPr>
            <w:tcW w:w="997" w:type="dxa"/>
            <w:shd w:val="clear" w:color="auto" w:fill="FFFFFF" w:themeFill="background1"/>
            <w:vAlign w:val="bottom"/>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8B43F6">
              <w:rPr>
                <w:rFonts w:cs="Calibri"/>
                <w:sz w:val="18"/>
                <w:szCs w:val="18"/>
              </w:rPr>
              <w:t>454</w:t>
            </w:r>
          </w:p>
        </w:tc>
        <w:tc>
          <w:tcPr>
            <w:tcW w:w="997" w:type="dxa"/>
            <w:shd w:val="clear" w:color="auto" w:fill="FFFFFF" w:themeFill="background1"/>
            <w:vAlign w:val="bottom"/>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8B43F6">
              <w:rPr>
                <w:rFonts w:cs="Calibri"/>
                <w:sz w:val="18"/>
                <w:szCs w:val="18"/>
              </w:rPr>
              <w:t>536</w:t>
            </w:r>
          </w:p>
        </w:tc>
        <w:tc>
          <w:tcPr>
            <w:tcW w:w="997" w:type="dxa"/>
            <w:shd w:val="clear" w:color="auto" w:fill="FFFFFF" w:themeFill="background1"/>
            <w:vAlign w:val="bottom"/>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8B43F6">
              <w:rPr>
                <w:rFonts w:cs="Calibri"/>
                <w:sz w:val="18"/>
                <w:szCs w:val="18"/>
              </w:rPr>
              <w:t>633</w:t>
            </w:r>
          </w:p>
        </w:tc>
        <w:tc>
          <w:tcPr>
            <w:tcW w:w="997" w:type="dxa"/>
            <w:shd w:val="clear" w:color="auto" w:fill="FFFFFF" w:themeFill="background1"/>
            <w:vAlign w:val="bottom"/>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8B43F6">
              <w:rPr>
                <w:rFonts w:cs="Calibri"/>
                <w:sz w:val="18"/>
                <w:szCs w:val="18"/>
              </w:rPr>
              <w:t>747</w:t>
            </w:r>
          </w:p>
        </w:tc>
      </w:tr>
      <w:tr w:rsidR="00BF0BE8" w:rsidRPr="008B43F6" w:rsidTr="00BF0BE8">
        <w:trPr>
          <w:cnfStyle w:val="000000100000" w:firstRow="0" w:lastRow="0" w:firstColumn="0" w:lastColumn="0" w:oddVBand="0" w:evenVBand="0" w:oddHBand="1" w:evenHBand="0" w:firstRowFirstColumn="0" w:firstRowLastColumn="0" w:lastRowFirstColumn="0" w:lastRowLastColumn="0"/>
          <w:trHeight w:val="42"/>
          <w:jc w:val="center"/>
        </w:trPr>
        <w:tc>
          <w:tcPr>
            <w:cnfStyle w:val="001000000000" w:firstRow="0" w:lastRow="0" w:firstColumn="1" w:lastColumn="0" w:oddVBand="0" w:evenVBand="0" w:oddHBand="0" w:evenHBand="0" w:firstRowFirstColumn="0" w:firstRowLastColumn="0" w:lastRowFirstColumn="0" w:lastRowLastColumn="0"/>
            <w:tcW w:w="1404" w:type="dxa"/>
            <w:tcBorders>
              <w:top w:val="none" w:sz="0" w:space="0" w:color="auto"/>
              <w:left w:val="none" w:sz="0" w:space="0" w:color="auto"/>
              <w:bottom w:val="none" w:sz="0" w:space="0" w:color="auto"/>
            </w:tcBorders>
            <w:shd w:val="clear" w:color="auto" w:fill="FFFFFF" w:themeFill="background1"/>
          </w:tcPr>
          <w:p w:rsidR="00772765" w:rsidRPr="008B43F6" w:rsidRDefault="00772765" w:rsidP="00C12621">
            <w:pPr>
              <w:spacing w:line="276" w:lineRule="auto"/>
              <w:jc w:val="both"/>
              <w:rPr>
                <w:rFonts w:eastAsia="Times New Roman" w:cs="Times New Roman"/>
                <w:sz w:val="18"/>
                <w:szCs w:val="18"/>
                <w:lang w:eastAsia="es-MX"/>
              </w:rPr>
            </w:pPr>
            <w:r w:rsidRPr="008B43F6">
              <w:rPr>
                <w:rFonts w:eastAsia="Times New Roman" w:cs="Times New Roman"/>
                <w:sz w:val="18"/>
                <w:szCs w:val="18"/>
                <w:lang w:eastAsia="es-MX"/>
              </w:rPr>
              <w:t>1C</w:t>
            </w:r>
          </w:p>
        </w:tc>
        <w:tc>
          <w:tcPr>
            <w:tcW w:w="997" w:type="dxa"/>
            <w:tcBorders>
              <w:top w:val="none" w:sz="0" w:space="0" w:color="auto"/>
              <w:bottom w:val="none" w:sz="0" w:space="0" w:color="auto"/>
            </w:tcBorders>
            <w:shd w:val="clear" w:color="auto" w:fill="FFFFFF" w:themeFill="background1"/>
            <w:vAlign w:val="bottom"/>
          </w:tcPr>
          <w:p w:rsidR="00772765" w:rsidRPr="008B43F6" w:rsidRDefault="00772765"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sz w:val="18"/>
                <w:szCs w:val="18"/>
              </w:rPr>
            </w:pPr>
            <w:r w:rsidRPr="008B43F6">
              <w:rPr>
                <w:rFonts w:cs="Calibri"/>
                <w:sz w:val="18"/>
                <w:szCs w:val="18"/>
              </w:rPr>
              <w:t>681</w:t>
            </w:r>
          </w:p>
        </w:tc>
        <w:tc>
          <w:tcPr>
            <w:tcW w:w="997" w:type="dxa"/>
            <w:tcBorders>
              <w:top w:val="none" w:sz="0" w:space="0" w:color="auto"/>
              <w:bottom w:val="none" w:sz="0" w:space="0" w:color="auto"/>
            </w:tcBorders>
            <w:shd w:val="clear" w:color="auto" w:fill="FFFFFF" w:themeFill="background1"/>
            <w:vAlign w:val="bottom"/>
          </w:tcPr>
          <w:p w:rsidR="00772765" w:rsidRPr="008B43F6" w:rsidRDefault="00772765"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sz w:val="18"/>
                <w:szCs w:val="18"/>
              </w:rPr>
            </w:pPr>
            <w:r w:rsidRPr="008B43F6">
              <w:rPr>
                <w:rFonts w:cs="Calibri"/>
                <w:sz w:val="18"/>
                <w:szCs w:val="18"/>
              </w:rPr>
              <w:t>762</w:t>
            </w:r>
          </w:p>
        </w:tc>
        <w:tc>
          <w:tcPr>
            <w:tcW w:w="997" w:type="dxa"/>
            <w:tcBorders>
              <w:top w:val="none" w:sz="0" w:space="0" w:color="auto"/>
              <w:bottom w:val="none" w:sz="0" w:space="0" w:color="auto"/>
            </w:tcBorders>
            <w:shd w:val="clear" w:color="auto" w:fill="FFFFFF" w:themeFill="background1"/>
            <w:vAlign w:val="bottom"/>
          </w:tcPr>
          <w:p w:rsidR="00772765" w:rsidRPr="008B43F6" w:rsidRDefault="00772765"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sz w:val="18"/>
                <w:szCs w:val="18"/>
              </w:rPr>
            </w:pPr>
            <w:r w:rsidRPr="008B43F6">
              <w:rPr>
                <w:rFonts w:cs="Calibri"/>
                <w:sz w:val="18"/>
                <w:szCs w:val="18"/>
              </w:rPr>
              <w:t>899</w:t>
            </w:r>
          </w:p>
        </w:tc>
        <w:tc>
          <w:tcPr>
            <w:tcW w:w="997" w:type="dxa"/>
            <w:tcBorders>
              <w:top w:val="none" w:sz="0" w:space="0" w:color="auto"/>
              <w:bottom w:val="none" w:sz="0" w:space="0" w:color="auto"/>
              <w:right w:val="none" w:sz="0" w:space="0" w:color="auto"/>
            </w:tcBorders>
            <w:shd w:val="clear" w:color="auto" w:fill="FFFFFF" w:themeFill="background1"/>
            <w:vAlign w:val="bottom"/>
          </w:tcPr>
          <w:p w:rsidR="00772765" w:rsidRPr="008B43F6" w:rsidRDefault="00772765"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sz w:val="18"/>
                <w:szCs w:val="18"/>
              </w:rPr>
            </w:pPr>
            <w:r w:rsidRPr="008B43F6">
              <w:rPr>
                <w:rFonts w:cs="Calibri"/>
                <w:sz w:val="18"/>
                <w:szCs w:val="18"/>
              </w:rPr>
              <w:t>1</w:t>
            </w:r>
            <w:r w:rsidR="00817EA0" w:rsidRPr="008B43F6">
              <w:rPr>
                <w:rFonts w:cs="Calibri"/>
                <w:sz w:val="18"/>
                <w:szCs w:val="18"/>
              </w:rPr>
              <w:t>,</w:t>
            </w:r>
            <w:r w:rsidRPr="008B43F6">
              <w:rPr>
                <w:rFonts w:cs="Calibri"/>
                <w:sz w:val="18"/>
                <w:szCs w:val="18"/>
              </w:rPr>
              <w:t>062</w:t>
            </w:r>
          </w:p>
        </w:tc>
      </w:tr>
      <w:tr w:rsidR="00BF0BE8" w:rsidRPr="008B43F6" w:rsidTr="00BF0BE8">
        <w:trPr>
          <w:trHeight w:val="42"/>
          <w:jc w:val="center"/>
        </w:trPr>
        <w:tc>
          <w:tcPr>
            <w:cnfStyle w:val="001000000000" w:firstRow="0" w:lastRow="0" w:firstColumn="1" w:lastColumn="0" w:oddVBand="0" w:evenVBand="0" w:oddHBand="0" w:evenHBand="0" w:firstRowFirstColumn="0" w:firstRowLastColumn="0" w:lastRowFirstColumn="0" w:lastRowLastColumn="0"/>
            <w:tcW w:w="1404" w:type="dxa"/>
            <w:shd w:val="clear" w:color="auto" w:fill="FFFFFF" w:themeFill="background1"/>
          </w:tcPr>
          <w:p w:rsidR="00772765" w:rsidRPr="008B43F6" w:rsidRDefault="00772765" w:rsidP="00C12621">
            <w:pPr>
              <w:spacing w:line="276" w:lineRule="auto"/>
              <w:jc w:val="both"/>
              <w:rPr>
                <w:rFonts w:eastAsia="Times New Roman" w:cs="Times New Roman"/>
                <w:sz w:val="18"/>
                <w:szCs w:val="18"/>
                <w:lang w:eastAsia="es-MX"/>
              </w:rPr>
            </w:pPr>
            <w:r w:rsidRPr="008B43F6">
              <w:rPr>
                <w:rFonts w:eastAsia="Times New Roman" w:cs="Times New Roman"/>
                <w:sz w:val="18"/>
                <w:szCs w:val="18"/>
                <w:lang w:eastAsia="es-MX"/>
              </w:rPr>
              <w:t>1D</w:t>
            </w:r>
          </w:p>
        </w:tc>
        <w:tc>
          <w:tcPr>
            <w:tcW w:w="997" w:type="dxa"/>
            <w:shd w:val="clear" w:color="auto" w:fill="FFFFFF" w:themeFill="background1"/>
            <w:vAlign w:val="bottom"/>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8B43F6">
              <w:rPr>
                <w:rFonts w:cs="Calibri"/>
                <w:sz w:val="18"/>
                <w:szCs w:val="18"/>
              </w:rPr>
              <w:t>919</w:t>
            </w:r>
          </w:p>
        </w:tc>
        <w:tc>
          <w:tcPr>
            <w:tcW w:w="997" w:type="dxa"/>
            <w:shd w:val="clear" w:color="auto" w:fill="FFFFFF" w:themeFill="background1"/>
            <w:vAlign w:val="bottom"/>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8B43F6">
              <w:rPr>
                <w:rFonts w:cs="Calibri"/>
                <w:sz w:val="18"/>
                <w:szCs w:val="18"/>
              </w:rPr>
              <w:t>1</w:t>
            </w:r>
            <w:r w:rsidR="00817EA0" w:rsidRPr="008B43F6">
              <w:rPr>
                <w:rFonts w:cs="Calibri"/>
                <w:sz w:val="18"/>
                <w:szCs w:val="18"/>
              </w:rPr>
              <w:t>,</w:t>
            </w:r>
            <w:r w:rsidRPr="008B43F6">
              <w:rPr>
                <w:rFonts w:cs="Calibri"/>
                <w:sz w:val="18"/>
                <w:szCs w:val="18"/>
              </w:rPr>
              <w:t>029</w:t>
            </w:r>
          </w:p>
        </w:tc>
        <w:tc>
          <w:tcPr>
            <w:tcW w:w="997" w:type="dxa"/>
            <w:shd w:val="clear" w:color="auto" w:fill="FFFFFF" w:themeFill="background1"/>
            <w:vAlign w:val="bottom"/>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8B43F6">
              <w:rPr>
                <w:rFonts w:cs="Calibri"/>
                <w:sz w:val="18"/>
                <w:szCs w:val="18"/>
              </w:rPr>
              <w:t>1</w:t>
            </w:r>
            <w:r w:rsidR="00817EA0" w:rsidRPr="008B43F6">
              <w:rPr>
                <w:rFonts w:cs="Calibri"/>
                <w:sz w:val="18"/>
                <w:szCs w:val="18"/>
              </w:rPr>
              <w:t>,</w:t>
            </w:r>
            <w:r w:rsidRPr="008B43F6">
              <w:rPr>
                <w:rFonts w:cs="Calibri"/>
                <w:sz w:val="18"/>
                <w:szCs w:val="18"/>
              </w:rPr>
              <w:t>215</w:t>
            </w:r>
          </w:p>
        </w:tc>
        <w:tc>
          <w:tcPr>
            <w:tcW w:w="997" w:type="dxa"/>
            <w:shd w:val="clear" w:color="auto" w:fill="FFFFFF" w:themeFill="background1"/>
            <w:vAlign w:val="bottom"/>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8B43F6">
              <w:rPr>
                <w:rFonts w:cs="Calibri"/>
                <w:sz w:val="18"/>
                <w:szCs w:val="18"/>
              </w:rPr>
              <w:t>1</w:t>
            </w:r>
            <w:r w:rsidR="00817EA0" w:rsidRPr="008B43F6">
              <w:rPr>
                <w:rFonts w:cs="Calibri"/>
                <w:sz w:val="18"/>
                <w:szCs w:val="18"/>
              </w:rPr>
              <w:t>,</w:t>
            </w:r>
            <w:r w:rsidRPr="008B43F6">
              <w:rPr>
                <w:rFonts w:cs="Calibri"/>
                <w:sz w:val="18"/>
                <w:szCs w:val="18"/>
              </w:rPr>
              <w:t>357</w:t>
            </w:r>
          </w:p>
        </w:tc>
      </w:tr>
      <w:tr w:rsidR="00BF0BE8" w:rsidRPr="008B43F6" w:rsidTr="00BF0BE8">
        <w:trPr>
          <w:cnfStyle w:val="000000100000" w:firstRow="0" w:lastRow="0" w:firstColumn="0" w:lastColumn="0" w:oddVBand="0" w:evenVBand="0" w:oddHBand="1" w:evenHBand="0" w:firstRowFirstColumn="0" w:firstRowLastColumn="0" w:lastRowFirstColumn="0" w:lastRowLastColumn="0"/>
          <w:trHeight w:val="42"/>
          <w:jc w:val="center"/>
        </w:trPr>
        <w:tc>
          <w:tcPr>
            <w:cnfStyle w:val="001000000000" w:firstRow="0" w:lastRow="0" w:firstColumn="1" w:lastColumn="0" w:oddVBand="0" w:evenVBand="0" w:oddHBand="0" w:evenHBand="0" w:firstRowFirstColumn="0" w:firstRowLastColumn="0" w:lastRowFirstColumn="0" w:lastRowLastColumn="0"/>
            <w:tcW w:w="1404" w:type="dxa"/>
            <w:tcBorders>
              <w:top w:val="none" w:sz="0" w:space="0" w:color="auto"/>
              <w:left w:val="none" w:sz="0" w:space="0" w:color="auto"/>
              <w:bottom w:val="none" w:sz="0" w:space="0" w:color="auto"/>
            </w:tcBorders>
            <w:shd w:val="clear" w:color="auto" w:fill="FFFFFF" w:themeFill="background1"/>
          </w:tcPr>
          <w:p w:rsidR="00772765" w:rsidRPr="008B43F6" w:rsidRDefault="00772765" w:rsidP="00C12621">
            <w:pPr>
              <w:spacing w:line="276" w:lineRule="auto"/>
              <w:jc w:val="both"/>
              <w:rPr>
                <w:rFonts w:eastAsia="Times New Roman" w:cs="Times New Roman"/>
                <w:sz w:val="18"/>
                <w:szCs w:val="18"/>
                <w:lang w:eastAsia="es-MX"/>
              </w:rPr>
            </w:pPr>
            <w:r w:rsidRPr="008B43F6">
              <w:rPr>
                <w:rFonts w:eastAsia="Times New Roman" w:cs="Times New Roman"/>
                <w:sz w:val="18"/>
                <w:szCs w:val="18"/>
                <w:lang w:eastAsia="es-MX"/>
              </w:rPr>
              <w:t>1E</w:t>
            </w:r>
          </w:p>
        </w:tc>
        <w:tc>
          <w:tcPr>
            <w:tcW w:w="997" w:type="dxa"/>
            <w:tcBorders>
              <w:top w:val="none" w:sz="0" w:space="0" w:color="auto"/>
              <w:bottom w:val="none" w:sz="0" w:space="0" w:color="auto"/>
            </w:tcBorders>
            <w:shd w:val="clear" w:color="auto" w:fill="FFFFFF" w:themeFill="background1"/>
            <w:vAlign w:val="bottom"/>
          </w:tcPr>
          <w:p w:rsidR="00772765" w:rsidRPr="008B43F6" w:rsidRDefault="00772765"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sz w:val="18"/>
                <w:szCs w:val="18"/>
              </w:rPr>
            </w:pPr>
            <w:r w:rsidRPr="008B43F6">
              <w:rPr>
                <w:rFonts w:cs="Calibri"/>
                <w:sz w:val="18"/>
                <w:szCs w:val="18"/>
              </w:rPr>
              <w:t>1</w:t>
            </w:r>
            <w:r w:rsidR="00817EA0" w:rsidRPr="008B43F6">
              <w:rPr>
                <w:rFonts w:cs="Calibri"/>
                <w:sz w:val="18"/>
                <w:szCs w:val="18"/>
              </w:rPr>
              <w:t>,</w:t>
            </w:r>
            <w:r w:rsidRPr="008B43F6">
              <w:rPr>
                <w:rFonts w:cs="Calibri"/>
                <w:sz w:val="18"/>
                <w:szCs w:val="18"/>
              </w:rPr>
              <w:t>093</w:t>
            </w:r>
          </w:p>
        </w:tc>
        <w:tc>
          <w:tcPr>
            <w:tcW w:w="997" w:type="dxa"/>
            <w:tcBorders>
              <w:top w:val="none" w:sz="0" w:space="0" w:color="auto"/>
              <w:bottom w:val="none" w:sz="0" w:space="0" w:color="auto"/>
            </w:tcBorders>
            <w:shd w:val="clear" w:color="auto" w:fill="FFFFFF" w:themeFill="background1"/>
            <w:vAlign w:val="bottom"/>
          </w:tcPr>
          <w:p w:rsidR="00772765" w:rsidRPr="008B43F6" w:rsidRDefault="00772765"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sz w:val="18"/>
                <w:szCs w:val="18"/>
              </w:rPr>
            </w:pPr>
            <w:r w:rsidRPr="008B43F6">
              <w:rPr>
                <w:rFonts w:cs="Calibri"/>
                <w:sz w:val="18"/>
                <w:szCs w:val="18"/>
              </w:rPr>
              <w:t>1</w:t>
            </w:r>
            <w:r w:rsidR="00817EA0" w:rsidRPr="008B43F6">
              <w:rPr>
                <w:rFonts w:cs="Calibri"/>
                <w:sz w:val="18"/>
                <w:szCs w:val="18"/>
              </w:rPr>
              <w:t>,</w:t>
            </w:r>
            <w:r w:rsidRPr="008B43F6">
              <w:rPr>
                <w:rFonts w:cs="Calibri"/>
                <w:sz w:val="18"/>
                <w:szCs w:val="18"/>
              </w:rPr>
              <w:t>290</w:t>
            </w:r>
          </w:p>
        </w:tc>
        <w:tc>
          <w:tcPr>
            <w:tcW w:w="997" w:type="dxa"/>
            <w:tcBorders>
              <w:top w:val="none" w:sz="0" w:space="0" w:color="auto"/>
              <w:bottom w:val="none" w:sz="0" w:space="0" w:color="auto"/>
            </w:tcBorders>
            <w:shd w:val="clear" w:color="auto" w:fill="FFFFFF" w:themeFill="background1"/>
            <w:vAlign w:val="bottom"/>
          </w:tcPr>
          <w:p w:rsidR="00772765" w:rsidRPr="008B43F6" w:rsidRDefault="00772765"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sz w:val="18"/>
                <w:szCs w:val="18"/>
              </w:rPr>
            </w:pPr>
            <w:r w:rsidRPr="008B43F6">
              <w:rPr>
                <w:rFonts w:cs="Calibri"/>
                <w:sz w:val="18"/>
                <w:szCs w:val="18"/>
              </w:rPr>
              <w:t>1</w:t>
            </w:r>
            <w:r w:rsidR="00817EA0" w:rsidRPr="008B43F6">
              <w:rPr>
                <w:rFonts w:cs="Calibri"/>
                <w:sz w:val="18"/>
                <w:szCs w:val="18"/>
              </w:rPr>
              <w:t>,</w:t>
            </w:r>
            <w:r w:rsidRPr="008B43F6">
              <w:rPr>
                <w:rFonts w:cs="Calibri"/>
                <w:sz w:val="18"/>
                <w:szCs w:val="18"/>
              </w:rPr>
              <w:t>441</w:t>
            </w:r>
          </w:p>
        </w:tc>
        <w:tc>
          <w:tcPr>
            <w:tcW w:w="997" w:type="dxa"/>
            <w:tcBorders>
              <w:top w:val="none" w:sz="0" w:space="0" w:color="auto"/>
              <w:bottom w:val="none" w:sz="0" w:space="0" w:color="auto"/>
              <w:right w:val="none" w:sz="0" w:space="0" w:color="auto"/>
            </w:tcBorders>
            <w:shd w:val="clear" w:color="auto" w:fill="FFFFFF" w:themeFill="background1"/>
            <w:vAlign w:val="bottom"/>
          </w:tcPr>
          <w:p w:rsidR="00772765" w:rsidRPr="008B43F6" w:rsidRDefault="00772765"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sz w:val="18"/>
                <w:szCs w:val="18"/>
              </w:rPr>
            </w:pPr>
            <w:r w:rsidRPr="008B43F6">
              <w:rPr>
                <w:rFonts w:cs="Calibri"/>
                <w:sz w:val="18"/>
                <w:szCs w:val="18"/>
              </w:rPr>
              <w:t>1</w:t>
            </w:r>
            <w:r w:rsidR="00817EA0" w:rsidRPr="008B43F6">
              <w:rPr>
                <w:rFonts w:cs="Calibri"/>
                <w:sz w:val="18"/>
                <w:szCs w:val="18"/>
              </w:rPr>
              <w:t>,</w:t>
            </w:r>
            <w:r w:rsidRPr="008B43F6">
              <w:rPr>
                <w:rFonts w:cs="Calibri"/>
                <w:sz w:val="18"/>
                <w:szCs w:val="18"/>
              </w:rPr>
              <w:t>702</w:t>
            </w:r>
          </w:p>
        </w:tc>
      </w:tr>
      <w:tr w:rsidR="00BF0BE8" w:rsidRPr="008B43F6" w:rsidTr="00BF0BE8">
        <w:trPr>
          <w:trHeight w:val="42"/>
          <w:jc w:val="center"/>
        </w:trPr>
        <w:tc>
          <w:tcPr>
            <w:cnfStyle w:val="001000000000" w:firstRow="0" w:lastRow="0" w:firstColumn="1" w:lastColumn="0" w:oddVBand="0" w:evenVBand="0" w:oddHBand="0" w:evenHBand="0" w:firstRowFirstColumn="0" w:firstRowLastColumn="0" w:lastRowFirstColumn="0" w:lastRowLastColumn="0"/>
            <w:tcW w:w="1404" w:type="dxa"/>
            <w:shd w:val="clear" w:color="auto" w:fill="FFFFFF" w:themeFill="background1"/>
          </w:tcPr>
          <w:p w:rsidR="00772765" w:rsidRPr="008B43F6" w:rsidRDefault="00772765" w:rsidP="00C12621">
            <w:pPr>
              <w:spacing w:line="276" w:lineRule="auto"/>
              <w:jc w:val="both"/>
              <w:rPr>
                <w:rFonts w:eastAsia="Times New Roman" w:cs="Times New Roman"/>
                <w:sz w:val="18"/>
                <w:szCs w:val="18"/>
                <w:lang w:eastAsia="es-MX"/>
              </w:rPr>
            </w:pPr>
            <w:r w:rsidRPr="008B43F6">
              <w:rPr>
                <w:rFonts w:eastAsia="Times New Roman" w:cs="Times New Roman"/>
                <w:sz w:val="18"/>
                <w:szCs w:val="18"/>
                <w:lang w:eastAsia="es-MX"/>
              </w:rPr>
              <w:t>1F</w:t>
            </w:r>
          </w:p>
        </w:tc>
        <w:tc>
          <w:tcPr>
            <w:tcW w:w="997" w:type="dxa"/>
            <w:shd w:val="clear" w:color="auto" w:fill="FFFFFF" w:themeFill="background1"/>
            <w:vAlign w:val="bottom"/>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8B43F6">
              <w:rPr>
                <w:rFonts w:cs="Calibri"/>
                <w:sz w:val="18"/>
                <w:szCs w:val="18"/>
              </w:rPr>
              <w:t>1</w:t>
            </w:r>
            <w:r w:rsidR="00817EA0" w:rsidRPr="008B43F6">
              <w:rPr>
                <w:rFonts w:cs="Calibri"/>
                <w:sz w:val="18"/>
                <w:szCs w:val="18"/>
              </w:rPr>
              <w:t>.</w:t>
            </w:r>
            <w:r w:rsidRPr="008B43F6">
              <w:rPr>
                <w:rFonts w:cs="Calibri"/>
                <w:sz w:val="18"/>
                <w:szCs w:val="18"/>
              </w:rPr>
              <w:t>399</w:t>
            </w:r>
          </w:p>
        </w:tc>
        <w:tc>
          <w:tcPr>
            <w:tcW w:w="997" w:type="dxa"/>
            <w:shd w:val="clear" w:color="auto" w:fill="FFFFFF" w:themeFill="background1"/>
            <w:vAlign w:val="bottom"/>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8B43F6">
              <w:rPr>
                <w:rFonts w:cs="Calibri"/>
                <w:sz w:val="18"/>
                <w:szCs w:val="18"/>
              </w:rPr>
              <w:t>1</w:t>
            </w:r>
            <w:r w:rsidR="00817EA0" w:rsidRPr="008B43F6">
              <w:rPr>
                <w:rFonts w:cs="Calibri"/>
                <w:sz w:val="18"/>
                <w:szCs w:val="18"/>
              </w:rPr>
              <w:t>,</w:t>
            </w:r>
            <w:r w:rsidRPr="008B43F6">
              <w:rPr>
                <w:rFonts w:cs="Calibri"/>
                <w:sz w:val="18"/>
                <w:szCs w:val="18"/>
              </w:rPr>
              <w:t>651</w:t>
            </w:r>
          </w:p>
        </w:tc>
        <w:tc>
          <w:tcPr>
            <w:tcW w:w="997" w:type="dxa"/>
            <w:shd w:val="clear" w:color="auto" w:fill="FFFFFF" w:themeFill="background1"/>
            <w:vAlign w:val="bottom"/>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8B43F6">
              <w:rPr>
                <w:rFonts w:cs="Calibri"/>
                <w:sz w:val="18"/>
                <w:szCs w:val="18"/>
              </w:rPr>
              <w:t>1</w:t>
            </w:r>
            <w:r w:rsidR="00817EA0" w:rsidRPr="008B43F6">
              <w:rPr>
                <w:rFonts w:cs="Calibri"/>
                <w:sz w:val="18"/>
                <w:szCs w:val="18"/>
              </w:rPr>
              <w:t>,</w:t>
            </w:r>
            <w:r w:rsidRPr="008B43F6">
              <w:rPr>
                <w:rFonts w:cs="Calibri"/>
                <w:sz w:val="18"/>
                <w:szCs w:val="18"/>
              </w:rPr>
              <w:t>948</w:t>
            </w:r>
          </w:p>
        </w:tc>
        <w:tc>
          <w:tcPr>
            <w:tcW w:w="997" w:type="dxa"/>
            <w:shd w:val="clear" w:color="auto" w:fill="FFFFFF" w:themeFill="background1"/>
            <w:vAlign w:val="bottom"/>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8B43F6">
              <w:rPr>
                <w:rFonts w:cs="Calibri"/>
                <w:sz w:val="18"/>
                <w:szCs w:val="18"/>
              </w:rPr>
              <w:t>2</w:t>
            </w:r>
            <w:r w:rsidR="00817EA0" w:rsidRPr="008B43F6">
              <w:rPr>
                <w:rFonts w:cs="Calibri"/>
                <w:sz w:val="18"/>
                <w:szCs w:val="18"/>
              </w:rPr>
              <w:t>,</w:t>
            </w:r>
            <w:r w:rsidRPr="008B43F6">
              <w:rPr>
                <w:rFonts w:cs="Calibri"/>
                <w:sz w:val="18"/>
                <w:szCs w:val="18"/>
              </w:rPr>
              <w:t>301</w:t>
            </w:r>
          </w:p>
        </w:tc>
      </w:tr>
    </w:tbl>
    <w:p w:rsidR="00307DB9" w:rsidRPr="008B43F6" w:rsidRDefault="00307DB9" w:rsidP="00C12621">
      <w:pPr>
        <w:pStyle w:val="Prrafodelista"/>
        <w:spacing w:after="0"/>
        <w:ind w:left="1065"/>
        <w:jc w:val="both"/>
        <w:rPr>
          <w:b/>
        </w:rPr>
      </w:pPr>
    </w:p>
    <w:p w:rsidR="00307DB9" w:rsidRPr="008B43F6" w:rsidRDefault="00307DB9" w:rsidP="00C12621">
      <w:pPr>
        <w:pStyle w:val="Prrafodelista"/>
        <w:numPr>
          <w:ilvl w:val="0"/>
          <w:numId w:val="10"/>
        </w:numPr>
        <w:spacing w:after="0"/>
        <w:jc w:val="both"/>
      </w:pPr>
      <w:r w:rsidRPr="008B43F6">
        <w:t>Ahorro promedio anual en gas que va desde</w:t>
      </w:r>
      <w:r w:rsidR="007E2721" w:rsidRPr="008B43F6">
        <w:t xml:space="preserve"> poco menos de 0.4 GJ hasta 9.6 GJ, dependiendo del decil de ingreso y de la región climática considerada</w:t>
      </w:r>
      <w:r w:rsidR="00EA6A89" w:rsidRPr="008B43F6">
        <w:t>.</w:t>
      </w:r>
      <w:r w:rsidR="007E2721" w:rsidRPr="008B43F6">
        <w:t xml:space="preserve"> </w:t>
      </w:r>
      <w:r w:rsidR="00EA6A89" w:rsidRPr="008B43F6">
        <w:t>Cabe</w:t>
      </w:r>
      <w:r w:rsidR="007E2721" w:rsidRPr="008B43F6">
        <w:t xml:space="preserve"> mencionar que en el país</w:t>
      </w:r>
      <w:r w:rsidR="00EA6A89" w:rsidRPr="008B43F6">
        <w:t>,</w:t>
      </w:r>
      <w:r w:rsidR="007E2721" w:rsidRPr="008B43F6">
        <w:t xml:space="preserve"> en las regiones con clima caluroso util</w:t>
      </w:r>
      <w:r w:rsidR="00EA6A89" w:rsidRPr="008B43F6">
        <w:t>izan en menor cantidad el gas. N</w:t>
      </w:r>
      <w:r w:rsidR="007E2721" w:rsidRPr="008B43F6">
        <w:t xml:space="preserve">o se requiere, por ejemplo, de calentadores de agua—y por lo mismo, los ahorros son mucho menores (Tabla </w:t>
      </w:r>
      <w:r w:rsidR="00E75797" w:rsidRPr="008B43F6">
        <w:t>6.2</w:t>
      </w:r>
      <w:r w:rsidR="007E2721" w:rsidRPr="008B43F6">
        <w:t>).</w:t>
      </w:r>
    </w:p>
    <w:p w:rsidR="007E2721" w:rsidRPr="008B43F6" w:rsidRDefault="007E2721" w:rsidP="00C12621">
      <w:pPr>
        <w:pStyle w:val="Prrafodelista"/>
        <w:spacing w:after="0"/>
        <w:ind w:left="1065"/>
        <w:jc w:val="both"/>
      </w:pPr>
    </w:p>
    <w:p w:rsidR="007E2721" w:rsidRPr="008B43F6" w:rsidRDefault="007E2721" w:rsidP="00C12621">
      <w:pPr>
        <w:pStyle w:val="Prrafodelista"/>
        <w:spacing w:after="0"/>
        <w:ind w:left="1065"/>
        <w:jc w:val="both"/>
        <w:rPr>
          <w:b/>
          <w:sz w:val="18"/>
          <w:szCs w:val="18"/>
        </w:rPr>
      </w:pPr>
      <w:r w:rsidRPr="008B43F6">
        <w:rPr>
          <w:b/>
          <w:sz w:val="18"/>
          <w:szCs w:val="18"/>
        </w:rPr>
        <w:t xml:space="preserve">Tabla </w:t>
      </w:r>
      <w:r w:rsidR="00165CC7" w:rsidRPr="008B43F6">
        <w:rPr>
          <w:b/>
          <w:sz w:val="18"/>
          <w:szCs w:val="18"/>
        </w:rPr>
        <w:t xml:space="preserve">6.2 </w:t>
      </w:r>
      <w:r w:rsidRPr="008B43F6">
        <w:rPr>
          <w:b/>
          <w:sz w:val="18"/>
          <w:szCs w:val="18"/>
        </w:rPr>
        <w:t xml:space="preserve"> </w:t>
      </w:r>
      <w:r w:rsidRPr="008B43F6">
        <w:rPr>
          <w:sz w:val="18"/>
          <w:szCs w:val="18"/>
        </w:rPr>
        <w:t>Ahorro promedio de gas por hogar por decil de ingreso según región</w:t>
      </w:r>
    </w:p>
    <w:tbl>
      <w:tblPr>
        <w:tblStyle w:val="Listaclara-nfasis1"/>
        <w:tblW w:w="539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04"/>
        <w:gridCol w:w="997"/>
        <w:gridCol w:w="997"/>
        <w:gridCol w:w="997"/>
        <w:gridCol w:w="997"/>
      </w:tblGrid>
      <w:tr w:rsidR="00BF0BE8" w:rsidRPr="008B43F6" w:rsidTr="00BF0BE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04" w:type="dxa"/>
            <w:vMerge w:val="restart"/>
          </w:tcPr>
          <w:p w:rsidR="00772765" w:rsidRPr="008B43F6" w:rsidRDefault="00772765" w:rsidP="00C12621">
            <w:pPr>
              <w:spacing w:line="276" w:lineRule="auto"/>
              <w:ind w:left="371"/>
              <w:jc w:val="both"/>
              <w:rPr>
                <w:rFonts w:eastAsia="Times New Roman" w:cs="Times New Roman"/>
                <w:sz w:val="18"/>
                <w:szCs w:val="18"/>
                <w:lang w:eastAsia="es-MX"/>
              </w:rPr>
            </w:pPr>
            <w:r w:rsidRPr="008B43F6">
              <w:rPr>
                <w:rFonts w:eastAsia="Times New Roman" w:cs="Times New Roman"/>
                <w:sz w:val="18"/>
                <w:szCs w:val="18"/>
                <w:lang w:eastAsia="es-MX"/>
              </w:rPr>
              <w:t>Región</w:t>
            </w:r>
          </w:p>
        </w:tc>
        <w:tc>
          <w:tcPr>
            <w:tcW w:w="3988" w:type="dxa"/>
            <w:gridSpan w:val="4"/>
          </w:tcPr>
          <w:p w:rsidR="00772765" w:rsidRPr="008B43F6" w:rsidRDefault="00772765" w:rsidP="00C12621">
            <w:pPr>
              <w:spacing w:line="276" w:lineRule="auto"/>
              <w:ind w:left="371"/>
              <w:jc w:val="both"/>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8B43F6">
              <w:rPr>
                <w:rFonts w:eastAsia="Times New Roman" w:cs="Times New Roman"/>
                <w:sz w:val="18"/>
                <w:szCs w:val="18"/>
                <w:lang w:eastAsia="es-MX"/>
              </w:rPr>
              <w:t>Ahorro de gas por hogar (GJ)</w:t>
            </w:r>
          </w:p>
        </w:tc>
      </w:tr>
      <w:tr w:rsidR="00BF0BE8" w:rsidRPr="008B43F6" w:rsidTr="00BF0BE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04" w:type="dxa"/>
            <w:vMerge/>
            <w:tcBorders>
              <w:top w:val="none" w:sz="0" w:space="0" w:color="auto"/>
              <w:left w:val="none" w:sz="0" w:space="0" w:color="auto"/>
              <w:bottom w:val="none" w:sz="0" w:space="0" w:color="auto"/>
            </w:tcBorders>
            <w:shd w:val="clear" w:color="auto" w:fill="4F81BD" w:themeFill="accent1"/>
          </w:tcPr>
          <w:p w:rsidR="00772765" w:rsidRPr="008B43F6" w:rsidRDefault="00772765" w:rsidP="00C12621">
            <w:pPr>
              <w:spacing w:line="276" w:lineRule="auto"/>
              <w:ind w:left="371"/>
              <w:jc w:val="both"/>
              <w:rPr>
                <w:rFonts w:eastAsia="Times New Roman" w:cs="Times New Roman"/>
                <w:b w:val="0"/>
                <w:color w:val="FFFFFF" w:themeColor="background1"/>
                <w:sz w:val="18"/>
                <w:szCs w:val="18"/>
                <w:lang w:eastAsia="es-MX"/>
              </w:rPr>
            </w:pPr>
          </w:p>
        </w:tc>
        <w:tc>
          <w:tcPr>
            <w:tcW w:w="997" w:type="dxa"/>
            <w:tcBorders>
              <w:top w:val="none" w:sz="0" w:space="0" w:color="auto"/>
              <w:bottom w:val="none" w:sz="0" w:space="0" w:color="auto"/>
            </w:tcBorders>
            <w:shd w:val="clear" w:color="auto" w:fill="4F81BD" w:themeFill="accent1"/>
          </w:tcPr>
          <w:p w:rsidR="00772765" w:rsidRPr="008B43F6" w:rsidRDefault="00772765" w:rsidP="00C12621">
            <w:pPr>
              <w:spacing w:line="276" w:lineRule="auto"/>
              <w:ind w:left="371"/>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color w:val="FFFFFF" w:themeColor="background1"/>
                <w:sz w:val="18"/>
                <w:szCs w:val="18"/>
                <w:lang w:eastAsia="es-MX"/>
              </w:rPr>
            </w:pPr>
            <w:r w:rsidRPr="008B43F6">
              <w:rPr>
                <w:rFonts w:eastAsia="Times New Roman" w:cs="Times New Roman"/>
                <w:b/>
                <w:color w:val="FFFFFF" w:themeColor="background1"/>
                <w:sz w:val="18"/>
                <w:szCs w:val="18"/>
                <w:lang w:eastAsia="es-MX"/>
              </w:rPr>
              <w:t>III</w:t>
            </w:r>
          </w:p>
        </w:tc>
        <w:tc>
          <w:tcPr>
            <w:tcW w:w="997" w:type="dxa"/>
            <w:tcBorders>
              <w:top w:val="none" w:sz="0" w:space="0" w:color="auto"/>
              <w:bottom w:val="none" w:sz="0" w:space="0" w:color="auto"/>
            </w:tcBorders>
            <w:shd w:val="clear" w:color="auto" w:fill="4F81BD" w:themeFill="accent1"/>
          </w:tcPr>
          <w:p w:rsidR="00772765" w:rsidRPr="008B43F6" w:rsidRDefault="00772765" w:rsidP="00C12621">
            <w:pPr>
              <w:spacing w:line="276" w:lineRule="auto"/>
              <w:ind w:left="371"/>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color w:val="FFFFFF" w:themeColor="background1"/>
                <w:sz w:val="18"/>
                <w:szCs w:val="18"/>
                <w:lang w:eastAsia="es-MX"/>
              </w:rPr>
            </w:pPr>
            <w:r w:rsidRPr="008B43F6">
              <w:rPr>
                <w:rFonts w:eastAsia="Times New Roman" w:cs="Times New Roman"/>
                <w:b/>
                <w:color w:val="FFFFFF" w:themeColor="background1"/>
                <w:sz w:val="18"/>
                <w:szCs w:val="18"/>
                <w:lang w:eastAsia="es-MX"/>
              </w:rPr>
              <w:t>IV</w:t>
            </w:r>
          </w:p>
        </w:tc>
        <w:tc>
          <w:tcPr>
            <w:tcW w:w="997" w:type="dxa"/>
            <w:tcBorders>
              <w:top w:val="none" w:sz="0" w:space="0" w:color="auto"/>
              <w:bottom w:val="none" w:sz="0" w:space="0" w:color="auto"/>
            </w:tcBorders>
            <w:shd w:val="clear" w:color="auto" w:fill="4F81BD" w:themeFill="accent1"/>
          </w:tcPr>
          <w:p w:rsidR="00772765" w:rsidRPr="008B43F6" w:rsidRDefault="00772765" w:rsidP="00C12621">
            <w:pPr>
              <w:spacing w:line="276" w:lineRule="auto"/>
              <w:ind w:left="371"/>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color w:val="FFFFFF" w:themeColor="background1"/>
                <w:sz w:val="18"/>
                <w:szCs w:val="18"/>
                <w:lang w:eastAsia="es-MX"/>
              </w:rPr>
            </w:pPr>
            <w:r w:rsidRPr="008B43F6">
              <w:rPr>
                <w:rFonts w:eastAsia="Times New Roman" w:cs="Times New Roman"/>
                <w:b/>
                <w:color w:val="FFFFFF" w:themeColor="background1"/>
                <w:sz w:val="18"/>
                <w:szCs w:val="18"/>
                <w:lang w:eastAsia="es-MX"/>
              </w:rPr>
              <w:t>V</w:t>
            </w:r>
          </w:p>
        </w:tc>
        <w:tc>
          <w:tcPr>
            <w:tcW w:w="997" w:type="dxa"/>
            <w:tcBorders>
              <w:top w:val="none" w:sz="0" w:space="0" w:color="auto"/>
              <w:bottom w:val="none" w:sz="0" w:space="0" w:color="auto"/>
              <w:right w:val="none" w:sz="0" w:space="0" w:color="auto"/>
            </w:tcBorders>
            <w:shd w:val="clear" w:color="auto" w:fill="4F81BD" w:themeFill="accent1"/>
          </w:tcPr>
          <w:p w:rsidR="00772765" w:rsidRPr="008B43F6" w:rsidRDefault="00772765" w:rsidP="00C12621">
            <w:pPr>
              <w:spacing w:line="276" w:lineRule="auto"/>
              <w:ind w:left="371"/>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color w:val="FFFFFF" w:themeColor="background1"/>
                <w:sz w:val="18"/>
                <w:szCs w:val="18"/>
                <w:lang w:eastAsia="es-MX"/>
              </w:rPr>
            </w:pPr>
            <w:r w:rsidRPr="008B43F6">
              <w:rPr>
                <w:rFonts w:eastAsia="Times New Roman" w:cs="Times New Roman"/>
                <w:b/>
                <w:color w:val="FFFFFF" w:themeColor="background1"/>
                <w:sz w:val="18"/>
                <w:szCs w:val="18"/>
                <w:lang w:eastAsia="es-MX"/>
              </w:rPr>
              <w:t>VI</w:t>
            </w:r>
          </w:p>
        </w:tc>
      </w:tr>
      <w:tr w:rsidR="00BF0BE8" w:rsidRPr="008B43F6" w:rsidTr="00BF0BE8">
        <w:trPr>
          <w:trHeight w:val="197"/>
          <w:jc w:val="center"/>
        </w:trPr>
        <w:tc>
          <w:tcPr>
            <w:cnfStyle w:val="001000000000" w:firstRow="0" w:lastRow="0" w:firstColumn="1" w:lastColumn="0" w:oddVBand="0" w:evenVBand="0" w:oddHBand="0" w:evenHBand="0" w:firstRowFirstColumn="0" w:firstRowLastColumn="0" w:lastRowFirstColumn="0" w:lastRowLastColumn="0"/>
            <w:tcW w:w="1404" w:type="dxa"/>
            <w:shd w:val="clear" w:color="auto" w:fill="FFFFFF" w:themeFill="background1"/>
          </w:tcPr>
          <w:p w:rsidR="00772765" w:rsidRPr="008B43F6" w:rsidRDefault="00772765" w:rsidP="00C12621">
            <w:pPr>
              <w:spacing w:line="276" w:lineRule="auto"/>
              <w:jc w:val="both"/>
              <w:rPr>
                <w:rFonts w:eastAsia="Times New Roman" w:cs="Times New Roman"/>
                <w:sz w:val="18"/>
                <w:szCs w:val="18"/>
                <w:lang w:eastAsia="es-MX"/>
              </w:rPr>
            </w:pPr>
            <w:r w:rsidRPr="008B43F6">
              <w:rPr>
                <w:rFonts w:eastAsia="Times New Roman" w:cs="Times New Roman"/>
                <w:sz w:val="18"/>
                <w:szCs w:val="18"/>
                <w:lang w:eastAsia="es-MX"/>
              </w:rPr>
              <w:t>1</w:t>
            </w:r>
          </w:p>
        </w:tc>
        <w:tc>
          <w:tcPr>
            <w:tcW w:w="997" w:type="dxa"/>
            <w:shd w:val="clear" w:color="auto" w:fill="FFFFFF" w:themeFill="background1"/>
            <w:vAlign w:val="bottom"/>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8B43F6">
              <w:rPr>
                <w:rFonts w:cs="Calibri"/>
                <w:sz w:val="18"/>
                <w:szCs w:val="18"/>
              </w:rPr>
              <w:t>7.8</w:t>
            </w:r>
          </w:p>
        </w:tc>
        <w:tc>
          <w:tcPr>
            <w:tcW w:w="997" w:type="dxa"/>
            <w:shd w:val="clear" w:color="auto" w:fill="FFFFFF" w:themeFill="background1"/>
            <w:vAlign w:val="bottom"/>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8B43F6">
              <w:rPr>
                <w:rFonts w:cs="Calibri"/>
                <w:sz w:val="18"/>
                <w:szCs w:val="18"/>
              </w:rPr>
              <w:t>8.4</w:t>
            </w:r>
          </w:p>
        </w:tc>
        <w:tc>
          <w:tcPr>
            <w:tcW w:w="997" w:type="dxa"/>
            <w:shd w:val="clear" w:color="auto" w:fill="FFFFFF" w:themeFill="background1"/>
            <w:vAlign w:val="bottom"/>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8B43F6">
              <w:rPr>
                <w:rFonts w:cs="Calibri"/>
                <w:sz w:val="18"/>
                <w:szCs w:val="18"/>
              </w:rPr>
              <w:t>9.0</w:t>
            </w:r>
          </w:p>
        </w:tc>
        <w:tc>
          <w:tcPr>
            <w:tcW w:w="997" w:type="dxa"/>
            <w:shd w:val="clear" w:color="auto" w:fill="FFFFFF" w:themeFill="background1"/>
            <w:vAlign w:val="bottom"/>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8B43F6">
              <w:rPr>
                <w:rFonts w:cs="Calibri"/>
                <w:sz w:val="18"/>
                <w:szCs w:val="18"/>
              </w:rPr>
              <w:t>9.6</w:t>
            </w:r>
          </w:p>
        </w:tc>
      </w:tr>
      <w:tr w:rsidR="00BF0BE8" w:rsidRPr="008B43F6" w:rsidTr="00BF0BE8">
        <w:trPr>
          <w:cnfStyle w:val="000000100000" w:firstRow="0" w:lastRow="0" w:firstColumn="0" w:lastColumn="0" w:oddVBand="0" w:evenVBand="0" w:oddHBand="1" w:evenHBand="0" w:firstRowFirstColumn="0" w:firstRowLastColumn="0" w:lastRowFirstColumn="0" w:lastRowLastColumn="0"/>
          <w:trHeight w:val="42"/>
          <w:jc w:val="center"/>
        </w:trPr>
        <w:tc>
          <w:tcPr>
            <w:cnfStyle w:val="001000000000" w:firstRow="0" w:lastRow="0" w:firstColumn="1" w:lastColumn="0" w:oddVBand="0" w:evenVBand="0" w:oddHBand="0" w:evenHBand="0" w:firstRowFirstColumn="0" w:firstRowLastColumn="0" w:lastRowFirstColumn="0" w:lastRowLastColumn="0"/>
            <w:tcW w:w="1404" w:type="dxa"/>
            <w:tcBorders>
              <w:top w:val="none" w:sz="0" w:space="0" w:color="auto"/>
              <w:left w:val="none" w:sz="0" w:space="0" w:color="auto"/>
              <w:bottom w:val="none" w:sz="0" w:space="0" w:color="auto"/>
            </w:tcBorders>
            <w:shd w:val="clear" w:color="auto" w:fill="FFFFFF" w:themeFill="background1"/>
          </w:tcPr>
          <w:p w:rsidR="00772765" w:rsidRPr="008B43F6" w:rsidRDefault="00772765" w:rsidP="00C12621">
            <w:pPr>
              <w:spacing w:line="276" w:lineRule="auto"/>
              <w:jc w:val="both"/>
              <w:rPr>
                <w:rFonts w:eastAsia="Times New Roman" w:cs="Times New Roman"/>
                <w:sz w:val="18"/>
                <w:szCs w:val="18"/>
                <w:lang w:eastAsia="es-MX"/>
              </w:rPr>
            </w:pPr>
            <w:r w:rsidRPr="008B43F6">
              <w:rPr>
                <w:rFonts w:eastAsia="Times New Roman" w:cs="Times New Roman"/>
                <w:sz w:val="18"/>
                <w:szCs w:val="18"/>
                <w:lang w:eastAsia="es-MX"/>
              </w:rPr>
              <w:t>1A</w:t>
            </w:r>
          </w:p>
        </w:tc>
        <w:tc>
          <w:tcPr>
            <w:tcW w:w="997" w:type="dxa"/>
            <w:tcBorders>
              <w:top w:val="none" w:sz="0" w:space="0" w:color="auto"/>
              <w:bottom w:val="none" w:sz="0" w:space="0" w:color="auto"/>
            </w:tcBorders>
            <w:shd w:val="clear" w:color="auto" w:fill="FFFFFF" w:themeFill="background1"/>
            <w:vAlign w:val="bottom"/>
          </w:tcPr>
          <w:p w:rsidR="00772765" w:rsidRPr="008B43F6" w:rsidRDefault="00772765"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sz w:val="18"/>
                <w:szCs w:val="18"/>
              </w:rPr>
            </w:pPr>
            <w:r w:rsidRPr="008B43F6">
              <w:rPr>
                <w:rFonts w:cs="Calibri"/>
                <w:sz w:val="18"/>
                <w:szCs w:val="18"/>
              </w:rPr>
              <w:t>7.8</w:t>
            </w:r>
          </w:p>
        </w:tc>
        <w:tc>
          <w:tcPr>
            <w:tcW w:w="997" w:type="dxa"/>
            <w:tcBorders>
              <w:top w:val="none" w:sz="0" w:space="0" w:color="auto"/>
              <w:bottom w:val="none" w:sz="0" w:space="0" w:color="auto"/>
            </w:tcBorders>
            <w:shd w:val="clear" w:color="auto" w:fill="FFFFFF" w:themeFill="background1"/>
            <w:vAlign w:val="bottom"/>
          </w:tcPr>
          <w:p w:rsidR="00772765" w:rsidRPr="008B43F6" w:rsidRDefault="00772765"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sz w:val="18"/>
                <w:szCs w:val="18"/>
              </w:rPr>
            </w:pPr>
            <w:r w:rsidRPr="008B43F6">
              <w:rPr>
                <w:rFonts w:cs="Calibri"/>
                <w:sz w:val="18"/>
                <w:szCs w:val="18"/>
              </w:rPr>
              <w:t>7.8</w:t>
            </w:r>
          </w:p>
        </w:tc>
        <w:tc>
          <w:tcPr>
            <w:tcW w:w="997" w:type="dxa"/>
            <w:tcBorders>
              <w:top w:val="none" w:sz="0" w:space="0" w:color="auto"/>
              <w:bottom w:val="none" w:sz="0" w:space="0" w:color="auto"/>
            </w:tcBorders>
            <w:shd w:val="clear" w:color="auto" w:fill="FFFFFF" w:themeFill="background1"/>
            <w:vAlign w:val="bottom"/>
          </w:tcPr>
          <w:p w:rsidR="00772765" w:rsidRPr="008B43F6" w:rsidRDefault="00772765"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sz w:val="18"/>
                <w:szCs w:val="18"/>
              </w:rPr>
            </w:pPr>
            <w:r w:rsidRPr="008B43F6">
              <w:rPr>
                <w:rFonts w:cs="Calibri"/>
                <w:sz w:val="18"/>
                <w:szCs w:val="18"/>
              </w:rPr>
              <w:t>8.4</w:t>
            </w:r>
          </w:p>
        </w:tc>
        <w:tc>
          <w:tcPr>
            <w:tcW w:w="997" w:type="dxa"/>
            <w:tcBorders>
              <w:top w:val="none" w:sz="0" w:space="0" w:color="auto"/>
              <w:bottom w:val="none" w:sz="0" w:space="0" w:color="auto"/>
              <w:right w:val="none" w:sz="0" w:space="0" w:color="auto"/>
            </w:tcBorders>
            <w:shd w:val="clear" w:color="auto" w:fill="FFFFFF" w:themeFill="background1"/>
            <w:vAlign w:val="bottom"/>
          </w:tcPr>
          <w:p w:rsidR="00772765" w:rsidRPr="008B43F6" w:rsidRDefault="00772765"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sz w:val="18"/>
                <w:szCs w:val="18"/>
              </w:rPr>
            </w:pPr>
            <w:r w:rsidRPr="008B43F6">
              <w:rPr>
                <w:rFonts w:cs="Calibri"/>
                <w:sz w:val="18"/>
                <w:szCs w:val="18"/>
              </w:rPr>
              <w:t>9.0</w:t>
            </w:r>
          </w:p>
        </w:tc>
      </w:tr>
      <w:tr w:rsidR="00BF0BE8" w:rsidRPr="008B43F6" w:rsidTr="00BF0BE8">
        <w:trPr>
          <w:trHeight w:val="42"/>
          <w:jc w:val="center"/>
        </w:trPr>
        <w:tc>
          <w:tcPr>
            <w:cnfStyle w:val="001000000000" w:firstRow="0" w:lastRow="0" w:firstColumn="1" w:lastColumn="0" w:oddVBand="0" w:evenVBand="0" w:oddHBand="0" w:evenHBand="0" w:firstRowFirstColumn="0" w:firstRowLastColumn="0" w:lastRowFirstColumn="0" w:lastRowLastColumn="0"/>
            <w:tcW w:w="1404" w:type="dxa"/>
            <w:shd w:val="clear" w:color="auto" w:fill="FFFFFF" w:themeFill="background1"/>
          </w:tcPr>
          <w:p w:rsidR="00772765" w:rsidRPr="008B43F6" w:rsidRDefault="00772765" w:rsidP="00C12621">
            <w:pPr>
              <w:spacing w:line="276" w:lineRule="auto"/>
              <w:jc w:val="both"/>
              <w:rPr>
                <w:rFonts w:eastAsia="Times New Roman" w:cs="Times New Roman"/>
                <w:sz w:val="18"/>
                <w:szCs w:val="18"/>
                <w:lang w:eastAsia="es-MX"/>
              </w:rPr>
            </w:pPr>
            <w:r w:rsidRPr="008B43F6">
              <w:rPr>
                <w:rFonts w:eastAsia="Times New Roman" w:cs="Times New Roman"/>
                <w:sz w:val="18"/>
                <w:szCs w:val="18"/>
                <w:lang w:eastAsia="es-MX"/>
              </w:rPr>
              <w:t>1B</w:t>
            </w:r>
          </w:p>
        </w:tc>
        <w:tc>
          <w:tcPr>
            <w:tcW w:w="997" w:type="dxa"/>
            <w:shd w:val="clear" w:color="auto" w:fill="FFFFFF" w:themeFill="background1"/>
            <w:vAlign w:val="bottom"/>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8B43F6">
              <w:rPr>
                <w:rFonts w:cs="Calibri"/>
                <w:sz w:val="18"/>
                <w:szCs w:val="18"/>
              </w:rPr>
              <w:t>0.8</w:t>
            </w:r>
          </w:p>
        </w:tc>
        <w:tc>
          <w:tcPr>
            <w:tcW w:w="997" w:type="dxa"/>
            <w:shd w:val="clear" w:color="auto" w:fill="FFFFFF" w:themeFill="background1"/>
            <w:vAlign w:val="bottom"/>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8B43F6">
              <w:rPr>
                <w:rFonts w:cs="Calibri"/>
                <w:sz w:val="18"/>
                <w:szCs w:val="18"/>
              </w:rPr>
              <w:t>1.8</w:t>
            </w:r>
          </w:p>
        </w:tc>
        <w:tc>
          <w:tcPr>
            <w:tcW w:w="997" w:type="dxa"/>
            <w:shd w:val="clear" w:color="auto" w:fill="FFFFFF" w:themeFill="background1"/>
            <w:vAlign w:val="bottom"/>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8B43F6">
              <w:rPr>
                <w:rFonts w:cs="Calibri"/>
                <w:sz w:val="18"/>
                <w:szCs w:val="18"/>
              </w:rPr>
              <w:t>6.0</w:t>
            </w:r>
          </w:p>
        </w:tc>
        <w:tc>
          <w:tcPr>
            <w:tcW w:w="997" w:type="dxa"/>
            <w:shd w:val="clear" w:color="auto" w:fill="FFFFFF" w:themeFill="background1"/>
            <w:vAlign w:val="bottom"/>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8B43F6">
              <w:rPr>
                <w:rFonts w:cs="Calibri"/>
                <w:sz w:val="18"/>
                <w:szCs w:val="18"/>
              </w:rPr>
              <w:t>6.0</w:t>
            </w:r>
          </w:p>
        </w:tc>
      </w:tr>
      <w:tr w:rsidR="00BF0BE8" w:rsidRPr="008B43F6" w:rsidTr="00BF0BE8">
        <w:trPr>
          <w:cnfStyle w:val="000000100000" w:firstRow="0" w:lastRow="0" w:firstColumn="0" w:lastColumn="0" w:oddVBand="0" w:evenVBand="0" w:oddHBand="1" w:evenHBand="0" w:firstRowFirstColumn="0" w:firstRowLastColumn="0" w:lastRowFirstColumn="0" w:lastRowLastColumn="0"/>
          <w:trHeight w:val="42"/>
          <w:jc w:val="center"/>
        </w:trPr>
        <w:tc>
          <w:tcPr>
            <w:cnfStyle w:val="001000000000" w:firstRow="0" w:lastRow="0" w:firstColumn="1" w:lastColumn="0" w:oddVBand="0" w:evenVBand="0" w:oddHBand="0" w:evenHBand="0" w:firstRowFirstColumn="0" w:firstRowLastColumn="0" w:lastRowFirstColumn="0" w:lastRowLastColumn="0"/>
            <w:tcW w:w="1404" w:type="dxa"/>
            <w:tcBorders>
              <w:top w:val="none" w:sz="0" w:space="0" w:color="auto"/>
              <w:left w:val="none" w:sz="0" w:space="0" w:color="auto"/>
              <w:bottom w:val="none" w:sz="0" w:space="0" w:color="auto"/>
            </w:tcBorders>
            <w:shd w:val="clear" w:color="auto" w:fill="FFFFFF" w:themeFill="background1"/>
          </w:tcPr>
          <w:p w:rsidR="00772765" w:rsidRPr="008B43F6" w:rsidRDefault="00772765" w:rsidP="00C12621">
            <w:pPr>
              <w:spacing w:line="276" w:lineRule="auto"/>
              <w:jc w:val="both"/>
              <w:rPr>
                <w:rFonts w:eastAsia="Times New Roman" w:cs="Times New Roman"/>
                <w:sz w:val="18"/>
                <w:szCs w:val="18"/>
                <w:lang w:eastAsia="es-MX"/>
              </w:rPr>
            </w:pPr>
            <w:r w:rsidRPr="008B43F6">
              <w:rPr>
                <w:rFonts w:eastAsia="Times New Roman" w:cs="Times New Roman"/>
                <w:sz w:val="18"/>
                <w:szCs w:val="18"/>
                <w:lang w:eastAsia="es-MX"/>
              </w:rPr>
              <w:t>1C</w:t>
            </w:r>
          </w:p>
        </w:tc>
        <w:tc>
          <w:tcPr>
            <w:tcW w:w="997" w:type="dxa"/>
            <w:tcBorders>
              <w:top w:val="none" w:sz="0" w:space="0" w:color="auto"/>
              <w:bottom w:val="none" w:sz="0" w:space="0" w:color="auto"/>
            </w:tcBorders>
            <w:shd w:val="clear" w:color="auto" w:fill="FFFFFF" w:themeFill="background1"/>
            <w:vAlign w:val="bottom"/>
          </w:tcPr>
          <w:p w:rsidR="00772765" w:rsidRPr="008B43F6" w:rsidRDefault="00772765"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sz w:val="18"/>
                <w:szCs w:val="18"/>
              </w:rPr>
            </w:pPr>
            <w:r w:rsidRPr="008B43F6">
              <w:rPr>
                <w:rFonts w:cs="Calibri"/>
                <w:sz w:val="18"/>
                <w:szCs w:val="18"/>
              </w:rPr>
              <w:t>0.6</w:t>
            </w:r>
          </w:p>
        </w:tc>
        <w:tc>
          <w:tcPr>
            <w:tcW w:w="997" w:type="dxa"/>
            <w:tcBorders>
              <w:top w:val="none" w:sz="0" w:space="0" w:color="auto"/>
              <w:bottom w:val="none" w:sz="0" w:space="0" w:color="auto"/>
            </w:tcBorders>
            <w:shd w:val="clear" w:color="auto" w:fill="FFFFFF" w:themeFill="background1"/>
            <w:vAlign w:val="bottom"/>
          </w:tcPr>
          <w:p w:rsidR="00772765" w:rsidRPr="008B43F6" w:rsidRDefault="00772765"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sz w:val="18"/>
                <w:szCs w:val="18"/>
              </w:rPr>
            </w:pPr>
            <w:r w:rsidRPr="008B43F6">
              <w:rPr>
                <w:rFonts w:cs="Calibri"/>
                <w:sz w:val="18"/>
                <w:szCs w:val="18"/>
              </w:rPr>
              <w:t>0.6</w:t>
            </w:r>
          </w:p>
        </w:tc>
        <w:tc>
          <w:tcPr>
            <w:tcW w:w="997" w:type="dxa"/>
            <w:tcBorders>
              <w:top w:val="none" w:sz="0" w:space="0" w:color="auto"/>
              <w:bottom w:val="none" w:sz="0" w:space="0" w:color="auto"/>
            </w:tcBorders>
            <w:shd w:val="clear" w:color="auto" w:fill="FFFFFF" w:themeFill="background1"/>
            <w:vAlign w:val="bottom"/>
          </w:tcPr>
          <w:p w:rsidR="00772765" w:rsidRPr="008B43F6" w:rsidRDefault="00772765"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sz w:val="18"/>
                <w:szCs w:val="18"/>
              </w:rPr>
            </w:pPr>
            <w:r w:rsidRPr="008B43F6">
              <w:rPr>
                <w:rFonts w:cs="Calibri"/>
                <w:sz w:val="18"/>
                <w:szCs w:val="18"/>
              </w:rPr>
              <w:t>0.7</w:t>
            </w:r>
          </w:p>
        </w:tc>
        <w:tc>
          <w:tcPr>
            <w:tcW w:w="997" w:type="dxa"/>
            <w:tcBorders>
              <w:top w:val="none" w:sz="0" w:space="0" w:color="auto"/>
              <w:bottom w:val="none" w:sz="0" w:space="0" w:color="auto"/>
              <w:right w:val="none" w:sz="0" w:space="0" w:color="auto"/>
            </w:tcBorders>
            <w:shd w:val="clear" w:color="auto" w:fill="FFFFFF" w:themeFill="background1"/>
            <w:vAlign w:val="bottom"/>
          </w:tcPr>
          <w:p w:rsidR="00772765" w:rsidRPr="008B43F6" w:rsidRDefault="00772765"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sz w:val="18"/>
                <w:szCs w:val="18"/>
              </w:rPr>
            </w:pPr>
            <w:r w:rsidRPr="008B43F6">
              <w:rPr>
                <w:rFonts w:cs="Calibri"/>
                <w:sz w:val="18"/>
                <w:szCs w:val="18"/>
              </w:rPr>
              <w:t>0.8</w:t>
            </w:r>
          </w:p>
        </w:tc>
      </w:tr>
      <w:tr w:rsidR="00BF0BE8" w:rsidRPr="008B43F6" w:rsidTr="00BF0BE8">
        <w:trPr>
          <w:trHeight w:val="42"/>
          <w:jc w:val="center"/>
        </w:trPr>
        <w:tc>
          <w:tcPr>
            <w:cnfStyle w:val="001000000000" w:firstRow="0" w:lastRow="0" w:firstColumn="1" w:lastColumn="0" w:oddVBand="0" w:evenVBand="0" w:oddHBand="0" w:evenHBand="0" w:firstRowFirstColumn="0" w:firstRowLastColumn="0" w:lastRowFirstColumn="0" w:lastRowLastColumn="0"/>
            <w:tcW w:w="1404" w:type="dxa"/>
            <w:shd w:val="clear" w:color="auto" w:fill="FFFFFF" w:themeFill="background1"/>
          </w:tcPr>
          <w:p w:rsidR="00772765" w:rsidRPr="008B43F6" w:rsidRDefault="00772765" w:rsidP="00C12621">
            <w:pPr>
              <w:spacing w:line="276" w:lineRule="auto"/>
              <w:jc w:val="both"/>
              <w:rPr>
                <w:rFonts w:eastAsia="Times New Roman" w:cs="Times New Roman"/>
                <w:sz w:val="18"/>
                <w:szCs w:val="18"/>
                <w:lang w:eastAsia="es-MX"/>
              </w:rPr>
            </w:pPr>
            <w:r w:rsidRPr="008B43F6">
              <w:rPr>
                <w:rFonts w:eastAsia="Times New Roman" w:cs="Times New Roman"/>
                <w:sz w:val="18"/>
                <w:szCs w:val="18"/>
                <w:lang w:eastAsia="es-MX"/>
              </w:rPr>
              <w:t>1D</w:t>
            </w:r>
          </w:p>
        </w:tc>
        <w:tc>
          <w:tcPr>
            <w:tcW w:w="997" w:type="dxa"/>
            <w:shd w:val="clear" w:color="auto" w:fill="FFFFFF" w:themeFill="background1"/>
            <w:vAlign w:val="bottom"/>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8B43F6">
              <w:rPr>
                <w:rFonts w:cs="Calibri"/>
                <w:sz w:val="18"/>
                <w:szCs w:val="18"/>
              </w:rPr>
              <w:t>0.4</w:t>
            </w:r>
          </w:p>
        </w:tc>
        <w:tc>
          <w:tcPr>
            <w:tcW w:w="997" w:type="dxa"/>
            <w:shd w:val="clear" w:color="auto" w:fill="FFFFFF" w:themeFill="background1"/>
            <w:vAlign w:val="bottom"/>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8B43F6">
              <w:rPr>
                <w:rFonts w:cs="Calibri"/>
                <w:sz w:val="18"/>
                <w:szCs w:val="18"/>
              </w:rPr>
              <w:t>0.5</w:t>
            </w:r>
          </w:p>
        </w:tc>
        <w:tc>
          <w:tcPr>
            <w:tcW w:w="997" w:type="dxa"/>
            <w:shd w:val="clear" w:color="auto" w:fill="FFFFFF" w:themeFill="background1"/>
            <w:vAlign w:val="bottom"/>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8B43F6">
              <w:rPr>
                <w:rFonts w:cs="Calibri"/>
                <w:sz w:val="18"/>
                <w:szCs w:val="18"/>
              </w:rPr>
              <w:t>0.6</w:t>
            </w:r>
          </w:p>
        </w:tc>
        <w:tc>
          <w:tcPr>
            <w:tcW w:w="997" w:type="dxa"/>
            <w:shd w:val="clear" w:color="auto" w:fill="FFFFFF" w:themeFill="background1"/>
            <w:vAlign w:val="bottom"/>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8B43F6">
              <w:rPr>
                <w:rFonts w:cs="Calibri"/>
                <w:sz w:val="18"/>
                <w:szCs w:val="18"/>
              </w:rPr>
              <w:t>0.6</w:t>
            </w:r>
          </w:p>
        </w:tc>
      </w:tr>
      <w:tr w:rsidR="00BF0BE8" w:rsidRPr="008B43F6" w:rsidTr="00BF0BE8">
        <w:trPr>
          <w:cnfStyle w:val="000000100000" w:firstRow="0" w:lastRow="0" w:firstColumn="0" w:lastColumn="0" w:oddVBand="0" w:evenVBand="0" w:oddHBand="1" w:evenHBand="0" w:firstRowFirstColumn="0" w:firstRowLastColumn="0" w:lastRowFirstColumn="0" w:lastRowLastColumn="0"/>
          <w:trHeight w:val="42"/>
          <w:jc w:val="center"/>
        </w:trPr>
        <w:tc>
          <w:tcPr>
            <w:cnfStyle w:val="001000000000" w:firstRow="0" w:lastRow="0" w:firstColumn="1" w:lastColumn="0" w:oddVBand="0" w:evenVBand="0" w:oddHBand="0" w:evenHBand="0" w:firstRowFirstColumn="0" w:firstRowLastColumn="0" w:lastRowFirstColumn="0" w:lastRowLastColumn="0"/>
            <w:tcW w:w="1404" w:type="dxa"/>
            <w:tcBorders>
              <w:top w:val="none" w:sz="0" w:space="0" w:color="auto"/>
              <w:left w:val="none" w:sz="0" w:space="0" w:color="auto"/>
              <w:bottom w:val="none" w:sz="0" w:space="0" w:color="auto"/>
            </w:tcBorders>
            <w:shd w:val="clear" w:color="auto" w:fill="FFFFFF" w:themeFill="background1"/>
          </w:tcPr>
          <w:p w:rsidR="00772765" w:rsidRPr="008B43F6" w:rsidRDefault="00772765" w:rsidP="00C12621">
            <w:pPr>
              <w:spacing w:line="276" w:lineRule="auto"/>
              <w:jc w:val="both"/>
              <w:rPr>
                <w:rFonts w:eastAsia="Times New Roman" w:cs="Times New Roman"/>
                <w:sz w:val="18"/>
                <w:szCs w:val="18"/>
                <w:lang w:eastAsia="es-MX"/>
              </w:rPr>
            </w:pPr>
            <w:r w:rsidRPr="008B43F6">
              <w:rPr>
                <w:rFonts w:eastAsia="Times New Roman" w:cs="Times New Roman"/>
                <w:sz w:val="18"/>
                <w:szCs w:val="18"/>
                <w:lang w:eastAsia="es-MX"/>
              </w:rPr>
              <w:t>1E</w:t>
            </w:r>
          </w:p>
        </w:tc>
        <w:tc>
          <w:tcPr>
            <w:tcW w:w="997" w:type="dxa"/>
            <w:tcBorders>
              <w:top w:val="none" w:sz="0" w:space="0" w:color="auto"/>
              <w:bottom w:val="none" w:sz="0" w:space="0" w:color="auto"/>
            </w:tcBorders>
            <w:shd w:val="clear" w:color="auto" w:fill="FFFFFF" w:themeFill="background1"/>
            <w:vAlign w:val="bottom"/>
          </w:tcPr>
          <w:p w:rsidR="00772765" w:rsidRPr="008B43F6" w:rsidRDefault="00772765"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sz w:val="18"/>
                <w:szCs w:val="18"/>
              </w:rPr>
            </w:pPr>
            <w:r w:rsidRPr="008B43F6">
              <w:rPr>
                <w:rFonts w:cs="Calibri"/>
                <w:sz w:val="18"/>
                <w:szCs w:val="18"/>
              </w:rPr>
              <w:t>0.4</w:t>
            </w:r>
          </w:p>
        </w:tc>
        <w:tc>
          <w:tcPr>
            <w:tcW w:w="997" w:type="dxa"/>
            <w:tcBorders>
              <w:top w:val="none" w:sz="0" w:space="0" w:color="auto"/>
              <w:bottom w:val="none" w:sz="0" w:space="0" w:color="auto"/>
            </w:tcBorders>
            <w:shd w:val="clear" w:color="auto" w:fill="FFFFFF" w:themeFill="background1"/>
            <w:vAlign w:val="bottom"/>
          </w:tcPr>
          <w:p w:rsidR="00772765" w:rsidRPr="008B43F6" w:rsidRDefault="00772765"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sz w:val="18"/>
                <w:szCs w:val="18"/>
              </w:rPr>
            </w:pPr>
            <w:r w:rsidRPr="008B43F6">
              <w:rPr>
                <w:rFonts w:cs="Calibri"/>
                <w:sz w:val="18"/>
                <w:szCs w:val="18"/>
              </w:rPr>
              <w:t>0.5</w:t>
            </w:r>
          </w:p>
        </w:tc>
        <w:tc>
          <w:tcPr>
            <w:tcW w:w="997" w:type="dxa"/>
            <w:tcBorders>
              <w:top w:val="none" w:sz="0" w:space="0" w:color="auto"/>
              <w:bottom w:val="none" w:sz="0" w:space="0" w:color="auto"/>
            </w:tcBorders>
            <w:shd w:val="clear" w:color="auto" w:fill="FFFFFF" w:themeFill="background1"/>
            <w:vAlign w:val="bottom"/>
          </w:tcPr>
          <w:p w:rsidR="00772765" w:rsidRPr="008B43F6" w:rsidRDefault="00772765"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sz w:val="18"/>
                <w:szCs w:val="18"/>
              </w:rPr>
            </w:pPr>
            <w:r w:rsidRPr="008B43F6">
              <w:rPr>
                <w:rFonts w:cs="Calibri"/>
                <w:sz w:val="18"/>
                <w:szCs w:val="18"/>
              </w:rPr>
              <w:t>0.6</w:t>
            </w:r>
          </w:p>
        </w:tc>
        <w:tc>
          <w:tcPr>
            <w:tcW w:w="997" w:type="dxa"/>
            <w:tcBorders>
              <w:top w:val="none" w:sz="0" w:space="0" w:color="auto"/>
              <w:bottom w:val="none" w:sz="0" w:space="0" w:color="auto"/>
              <w:right w:val="none" w:sz="0" w:space="0" w:color="auto"/>
            </w:tcBorders>
            <w:shd w:val="clear" w:color="auto" w:fill="FFFFFF" w:themeFill="background1"/>
            <w:vAlign w:val="bottom"/>
          </w:tcPr>
          <w:p w:rsidR="00772765" w:rsidRPr="008B43F6" w:rsidRDefault="00772765"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Calibri"/>
                <w:sz w:val="18"/>
                <w:szCs w:val="18"/>
              </w:rPr>
            </w:pPr>
            <w:r w:rsidRPr="008B43F6">
              <w:rPr>
                <w:rFonts w:cs="Calibri"/>
                <w:sz w:val="18"/>
                <w:szCs w:val="18"/>
              </w:rPr>
              <w:t>0.6</w:t>
            </w:r>
          </w:p>
        </w:tc>
      </w:tr>
      <w:tr w:rsidR="00BF0BE8" w:rsidRPr="008B43F6" w:rsidTr="00BF0BE8">
        <w:trPr>
          <w:trHeight w:val="42"/>
          <w:jc w:val="center"/>
        </w:trPr>
        <w:tc>
          <w:tcPr>
            <w:cnfStyle w:val="001000000000" w:firstRow="0" w:lastRow="0" w:firstColumn="1" w:lastColumn="0" w:oddVBand="0" w:evenVBand="0" w:oddHBand="0" w:evenHBand="0" w:firstRowFirstColumn="0" w:firstRowLastColumn="0" w:lastRowFirstColumn="0" w:lastRowLastColumn="0"/>
            <w:tcW w:w="1404" w:type="dxa"/>
            <w:shd w:val="clear" w:color="auto" w:fill="FFFFFF" w:themeFill="background1"/>
          </w:tcPr>
          <w:p w:rsidR="00772765" w:rsidRPr="008B43F6" w:rsidRDefault="00772765" w:rsidP="00C12621">
            <w:pPr>
              <w:spacing w:line="276" w:lineRule="auto"/>
              <w:jc w:val="both"/>
              <w:rPr>
                <w:rFonts w:eastAsia="Times New Roman" w:cs="Times New Roman"/>
                <w:sz w:val="18"/>
                <w:szCs w:val="18"/>
                <w:lang w:eastAsia="es-MX"/>
              </w:rPr>
            </w:pPr>
            <w:r w:rsidRPr="008B43F6">
              <w:rPr>
                <w:rFonts w:eastAsia="Times New Roman" w:cs="Times New Roman"/>
                <w:sz w:val="18"/>
                <w:szCs w:val="18"/>
                <w:lang w:eastAsia="es-MX"/>
              </w:rPr>
              <w:t>1F</w:t>
            </w:r>
          </w:p>
        </w:tc>
        <w:tc>
          <w:tcPr>
            <w:tcW w:w="997" w:type="dxa"/>
            <w:shd w:val="clear" w:color="auto" w:fill="FFFFFF" w:themeFill="background1"/>
            <w:vAlign w:val="bottom"/>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8B43F6">
              <w:rPr>
                <w:rFonts w:cs="Calibri"/>
                <w:sz w:val="18"/>
                <w:szCs w:val="18"/>
              </w:rPr>
              <w:t>0.6</w:t>
            </w:r>
          </w:p>
        </w:tc>
        <w:tc>
          <w:tcPr>
            <w:tcW w:w="997" w:type="dxa"/>
            <w:shd w:val="clear" w:color="auto" w:fill="FFFFFF" w:themeFill="background1"/>
            <w:vAlign w:val="bottom"/>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8B43F6">
              <w:rPr>
                <w:rFonts w:cs="Calibri"/>
                <w:sz w:val="18"/>
                <w:szCs w:val="18"/>
              </w:rPr>
              <w:t>0.7</w:t>
            </w:r>
          </w:p>
        </w:tc>
        <w:tc>
          <w:tcPr>
            <w:tcW w:w="997" w:type="dxa"/>
            <w:shd w:val="clear" w:color="auto" w:fill="FFFFFF" w:themeFill="background1"/>
            <w:vAlign w:val="bottom"/>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8B43F6">
              <w:rPr>
                <w:rFonts w:cs="Calibri"/>
                <w:sz w:val="18"/>
                <w:szCs w:val="18"/>
              </w:rPr>
              <w:t>0.8</w:t>
            </w:r>
          </w:p>
        </w:tc>
        <w:tc>
          <w:tcPr>
            <w:tcW w:w="997" w:type="dxa"/>
            <w:shd w:val="clear" w:color="auto" w:fill="FFFFFF" w:themeFill="background1"/>
            <w:vAlign w:val="bottom"/>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8B43F6">
              <w:rPr>
                <w:rFonts w:cs="Calibri"/>
                <w:sz w:val="18"/>
                <w:szCs w:val="18"/>
              </w:rPr>
              <w:t>0.8</w:t>
            </w:r>
          </w:p>
        </w:tc>
      </w:tr>
    </w:tbl>
    <w:p w:rsidR="007E2721" w:rsidRPr="008B43F6" w:rsidRDefault="007E2721" w:rsidP="00C12621">
      <w:pPr>
        <w:pStyle w:val="Prrafodelista"/>
        <w:spacing w:after="0"/>
        <w:ind w:left="1065"/>
        <w:jc w:val="both"/>
        <w:rPr>
          <w:b/>
        </w:rPr>
      </w:pPr>
    </w:p>
    <w:p w:rsidR="007E2721" w:rsidRPr="008B43F6" w:rsidRDefault="007E2721" w:rsidP="00C12621">
      <w:pPr>
        <w:pStyle w:val="Prrafodelista"/>
        <w:spacing w:after="0"/>
        <w:ind w:left="1065"/>
        <w:jc w:val="both"/>
      </w:pPr>
    </w:p>
    <w:p w:rsidR="00046D15" w:rsidRPr="008B43F6" w:rsidRDefault="00046D15" w:rsidP="00C12621">
      <w:pPr>
        <w:pStyle w:val="Prrafodelista"/>
        <w:numPr>
          <w:ilvl w:val="0"/>
          <w:numId w:val="10"/>
        </w:numPr>
        <w:jc w:val="both"/>
      </w:pPr>
      <w:r w:rsidRPr="008B43F6">
        <w:t>Ahorro monetario promedio anual desde 695 pesos hasta 2,800 pesos</w:t>
      </w:r>
      <w:r w:rsidR="00BF0BE8" w:rsidRPr="008B43F6">
        <w:t>.</w:t>
      </w:r>
      <w:r w:rsidRPr="008B43F6">
        <w:t xml:space="preserve"> </w:t>
      </w:r>
      <w:r w:rsidR="00BF0BE8" w:rsidRPr="008B43F6">
        <w:t>E</w:t>
      </w:r>
      <w:r w:rsidRPr="008B43F6">
        <w:t>ste ahorro contempla tanto la reducción de la cuenta de electricidad</w:t>
      </w:r>
      <w:r w:rsidR="00817EA0" w:rsidRPr="008B43F6">
        <w:t xml:space="preserve"> tanto</w:t>
      </w:r>
      <w:r w:rsidRPr="008B43F6">
        <w:t xml:space="preserve"> como la de gas (Tabla </w:t>
      </w:r>
      <w:r w:rsidR="00E75797" w:rsidRPr="008B43F6">
        <w:t>6.3</w:t>
      </w:r>
      <w:r w:rsidRPr="008B43F6">
        <w:t>)</w:t>
      </w:r>
    </w:p>
    <w:p w:rsidR="00C90783" w:rsidRPr="008B43F6" w:rsidRDefault="00C90783" w:rsidP="00C12621">
      <w:pPr>
        <w:pStyle w:val="Prrafodelista"/>
        <w:spacing w:after="0"/>
        <w:ind w:left="1065"/>
        <w:jc w:val="both"/>
        <w:rPr>
          <w:b/>
          <w:sz w:val="18"/>
          <w:szCs w:val="18"/>
        </w:rPr>
      </w:pPr>
    </w:p>
    <w:p w:rsidR="00046D15" w:rsidRPr="008B43F6" w:rsidRDefault="00046D15" w:rsidP="00C12621">
      <w:pPr>
        <w:pStyle w:val="Prrafodelista"/>
        <w:spacing w:after="0"/>
        <w:ind w:left="1065"/>
        <w:jc w:val="both"/>
        <w:rPr>
          <w:b/>
          <w:sz w:val="18"/>
          <w:szCs w:val="18"/>
        </w:rPr>
      </w:pPr>
      <w:r w:rsidRPr="008B43F6">
        <w:rPr>
          <w:b/>
          <w:sz w:val="18"/>
          <w:szCs w:val="18"/>
        </w:rPr>
        <w:t xml:space="preserve">Tabla </w:t>
      </w:r>
      <w:r w:rsidR="00165CC7" w:rsidRPr="008B43F6">
        <w:rPr>
          <w:b/>
          <w:sz w:val="18"/>
          <w:szCs w:val="18"/>
        </w:rPr>
        <w:t>6.3</w:t>
      </w:r>
      <w:r w:rsidRPr="008B43F6">
        <w:rPr>
          <w:b/>
          <w:sz w:val="18"/>
          <w:szCs w:val="18"/>
        </w:rPr>
        <w:t xml:space="preserve"> </w:t>
      </w:r>
      <w:r w:rsidRPr="008B43F6">
        <w:rPr>
          <w:sz w:val="18"/>
          <w:szCs w:val="18"/>
        </w:rPr>
        <w:t>Ahorros monetarios por hogar por decil de ingreso</w:t>
      </w:r>
    </w:p>
    <w:tbl>
      <w:tblPr>
        <w:tblStyle w:val="Sombreadoclaro-nfasis1"/>
        <w:tblW w:w="6906"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2"/>
        <w:gridCol w:w="906"/>
        <w:gridCol w:w="181"/>
        <w:gridCol w:w="492"/>
        <w:gridCol w:w="906"/>
        <w:gridCol w:w="181"/>
        <w:gridCol w:w="492"/>
        <w:gridCol w:w="906"/>
        <w:gridCol w:w="181"/>
        <w:gridCol w:w="492"/>
        <w:gridCol w:w="906"/>
        <w:gridCol w:w="181"/>
        <w:gridCol w:w="492"/>
      </w:tblGrid>
      <w:tr w:rsidR="00165CC7" w:rsidRPr="008B43F6" w:rsidTr="00BF0BE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2" w:type="dxa"/>
            <w:vMerge w:val="restart"/>
            <w:tcBorders>
              <w:top w:val="none" w:sz="0" w:space="0" w:color="auto"/>
              <w:left w:val="none" w:sz="0" w:space="0" w:color="auto"/>
              <w:bottom w:val="none" w:sz="0" w:space="0" w:color="auto"/>
              <w:right w:val="none" w:sz="0" w:space="0" w:color="auto"/>
            </w:tcBorders>
            <w:shd w:val="clear" w:color="auto" w:fill="4F81BD" w:themeFill="accent1"/>
          </w:tcPr>
          <w:p w:rsidR="00772765" w:rsidRPr="008B43F6" w:rsidRDefault="00772765" w:rsidP="00C12621">
            <w:pPr>
              <w:spacing w:line="276" w:lineRule="auto"/>
              <w:ind w:left="371"/>
              <w:jc w:val="both"/>
              <w:rPr>
                <w:rFonts w:eastAsia="Times New Roman" w:cs="Times New Roman"/>
                <w:color w:val="FFFFFF" w:themeColor="background1"/>
                <w:sz w:val="18"/>
                <w:szCs w:val="18"/>
                <w:lang w:eastAsia="es-MX"/>
              </w:rPr>
            </w:pPr>
            <w:r w:rsidRPr="008B43F6">
              <w:rPr>
                <w:rFonts w:eastAsia="Times New Roman" w:cs="Times New Roman"/>
                <w:color w:val="FFFFFF" w:themeColor="background1"/>
                <w:sz w:val="18"/>
                <w:szCs w:val="18"/>
                <w:lang w:eastAsia="es-MX"/>
              </w:rPr>
              <w:lastRenderedPageBreak/>
              <w:t>Región</w:t>
            </w:r>
          </w:p>
        </w:tc>
        <w:tc>
          <w:tcPr>
            <w:tcW w:w="5804" w:type="dxa"/>
            <w:gridSpan w:val="12"/>
            <w:tcBorders>
              <w:top w:val="none" w:sz="0" w:space="0" w:color="auto"/>
              <w:left w:val="none" w:sz="0" w:space="0" w:color="auto"/>
              <w:bottom w:val="none" w:sz="0" w:space="0" w:color="auto"/>
              <w:right w:val="none" w:sz="0" w:space="0" w:color="auto"/>
            </w:tcBorders>
            <w:shd w:val="clear" w:color="auto" w:fill="4F81BD" w:themeFill="accent1"/>
          </w:tcPr>
          <w:p w:rsidR="00772765" w:rsidRPr="008B43F6" w:rsidRDefault="00772765" w:rsidP="00C12621">
            <w:pPr>
              <w:spacing w:line="276" w:lineRule="auto"/>
              <w:ind w:left="371"/>
              <w:jc w:val="both"/>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themeColor="background1"/>
                <w:sz w:val="18"/>
                <w:szCs w:val="18"/>
                <w:lang w:eastAsia="es-MX"/>
              </w:rPr>
            </w:pPr>
            <w:r w:rsidRPr="008B43F6">
              <w:rPr>
                <w:rFonts w:eastAsia="Times New Roman" w:cs="Times New Roman"/>
                <w:color w:val="FFFFFF" w:themeColor="background1"/>
                <w:sz w:val="18"/>
                <w:szCs w:val="18"/>
                <w:lang w:eastAsia="es-MX"/>
              </w:rPr>
              <w:t xml:space="preserve">Ahorro </w:t>
            </w:r>
            <w:r w:rsidR="00817EA0" w:rsidRPr="008B43F6">
              <w:rPr>
                <w:rFonts w:eastAsia="Times New Roman" w:cs="Times New Roman"/>
                <w:color w:val="FFFFFF" w:themeColor="background1"/>
                <w:sz w:val="18"/>
                <w:szCs w:val="18"/>
                <w:lang w:eastAsia="es-MX"/>
              </w:rPr>
              <w:t xml:space="preserve">económico por hogar </w:t>
            </w:r>
            <w:r w:rsidRPr="008B43F6">
              <w:rPr>
                <w:rFonts w:eastAsia="Times New Roman" w:cs="Times New Roman"/>
                <w:color w:val="FFFFFF" w:themeColor="background1"/>
                <w:sz w:val="18"/>
                <w:szCs w:val="18"/>
                <w:lang w:eastAsia="es-MX"/>
              </w:rPr>
              <w:t xml:space="preserve"> (Pesos)</w:t>
            </w:r>
          </w:p>
        </w:tc>
      </w:tr>
      <w:tr w:rsidR="00165CC7" w:rsidRPr="008B43F6" w:rsidTr="00BF0BE8">
        <w:trPr>
          <w:cnfStyle w:val="000000100000" w:firstRow="0" w:lastRow="0" w:firstColumn="0" w:lastColumn="0" w:oddVBand="0" w:evenVBand="0" w:oddHBand="1"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1102" w:type="dxa"/>
            <w:vMerge/>
            <w:tcBorders>
              <w:left w:val="none" w:sz="0" w:space="0" w:color="auto"/>
              <w:right w:val="none" w:sz="0" w:space="0" w:color="auto"/>
            </w:tcBorders>
            <w:shd w:val="clear" w:color="auto" w:fill="4F81BD" w:themeFill="accent1"/>
          </w:tcPr>
          <w:p w:rsidR="00772765" w:rsidRPr="008B43F6" w:rsidRDefault="00772765" w:rsidP="00C12621">
            <w:pPr>
              <w:spacing w:line="276" w:lineRule="auto"/>
              <w:ind w:left="371"/>
              <w:jc w:val="both"/>
              <w:rPr>
                <w:rFonts w:eastAsia="Times New Roman" w:cs="Times New Roman"/>
                <w:b w:val="0"/>
                <w:color w:val="FFFFFF" w:themeColor="background1"/>
                <w:sz w:val="18"/>
                <w:szCs w:val="18"/>
                <w:lang w:eastAsia="es-MX"/>
              </w:rPr>
            </w:pPr>
          </w:p>
        </w:tc>
        <w:tc>
          <w:tcPr>
            <w:tcW w:w="1451" w:type="dxa"/>
            <w:gridSpan w:val="3"/>
            <w:tcBorders>
              <w:left w:val="none" w:sz="0" w:space="0" w:color="auto"/>
              <w:right w:val="none" w:sz="0" w:space="0" w:color="auto"/>
            </w:tcBorders>
            <w:shd w:val="clear" w:color="auto" w:fill="4F81BD" w:themeFill="accent1"/>
          </w:tcPr>
          <w:p w:rsidR="00772765" w:rsidRPr="008B43F6" w:rsidRDefault="00772765" w:rsidP="00C12621">
            <w:pPr>
              <w:spacing w:line="276" w:lineRule="auto"/>
              <w:ind w:left="371"/>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color w:val="FFFFFF" w:themeColor="background1"/>
                <w:sz w:val="18"/>
                <w:szCs w:val="18"/>
                <w:lang w:eastAsia="es-MX"/>
              </w:rPr>
            </w:pPr>
            <w:r w:rsidRPr="008B43F6">
              <w:rPr>
                <w:rFonts w:eastAsia="Times New Roman" w:cs="Times New Roman"/>
                <w:b/>
                <w:color w:val="FFFFFF" w:themeColor="background1"/>
                <w:sz w:val="18"/>
                <w:szCs w:val="18"/>
                <w:lang w:eastAsia="es-MX"/>
              </w:rPr>
              <w:t>III</w:t>
            </w:r>
          </w:p>
        </w:tc>
        <w:tc>
          <w:tcPr>
            <w:tcW w:w="1451" w:type="dxa"/>
            <w:gridSpan w:val="3"/>
            <w:tcBorders>
              <w:left w:val="none" w:sz="0" w:space="0" w:color="auto"/>
              <w:right w:val="none" w:sz="0" w:space="0" w:color="auto"/>
            </w:tcBorders>
            <w:shd w:val="clear" w:color="auto" w:fill="4F81BD" w:themeFill="accent1"/>
          </w:tcPr>
          <w:p w:rsidR="00772765" w:rsidRPr="008B43F6" w:rsidRDefault="00772765" w:rsidP="00C12621">
            <w:pPr>
              <w:spacing w:line="276" w:lineRule="auto"/>
              <w:ind w:left="371"/>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color w:val="FFFFFF" w:themeColor="background1"/>
                <w:sz w:val="18"/>
                <w:szCs w:val="18"/>
                <w:lang w:eastAsia="es-MX"/>
              </w:rPr>
            </w:pPr>
            <w:r w:rsidRPr="008B43F6">
              <w:rPr>
                <w:rFonts w:eastAsia="Times New Roman" w:cs="Times New Roman"/>
                <w:b/>
                <w:color w:val="FFFFFF" w:themeColor="background1"/>
                <w:sz w:val="18"/>
                <w:szCs w:val="18"/>
                <w:lang w:eastAsia="es-MX"/>
              </w:rPr>
              <w:t>IV</w:t>
            </w:r>
          </w:p>
        </w:tc>
        <w:tc>
          <w:tcPr>
            <w:tcW w:w="1451" w:type="dxa"/>
            <w:gridSpan w:val="3"/>
            <w:tcBorders>
              <w:left w:val="none" w:sz="0" w:space="0" w:color="auto"/>
              <w:right w:val="none" w:sz="0" w:space="0" w:color="auto"/>
            </w:tcBorders>
            <w:shd w:val="clear" w:color="auto" w:fill="4F81BD" w:themeFill="accent1"/>
          </w:tcPr>
          <w:p w:rsidR="00772765" w:rsidRPr="008B43F6" w:rsidRDefault="00772765" w:rsidP="00C12621">
            <w:pPr>
              <w:spacing w:line="276" w:lineRule="auto"/>
              <w:ind w:left="371"/>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color w:val="FFFFFF" w:themeColor="background1"/>
                <w:sz w:val="18"/>
                <w:szCs w:val="18"/>
                <w:lang w:eastAsia="es-MX"/>
              </w:rPr>
            </w:pPr>
            <w:r w:rsidRPr="008B43F6">
              <w:rPr>
                <w:rFonts w:eastAsia="Times New Roman" w:cs="Times New Roman"/>
                <w:b/>
                <w:color w:val="FFFFFF" w:themeColor="background1"/>
                <w:sz w:val="18"/>
                <w:szCs w:val="18"/>
                <w:lang w:eastAsia="es-MX"/>
              </w:rPr>
              <w:t>V</w:t>
            </w:r>
          </w:p>
        </w:tc>
        <w:tc>
          <w:tcPr>
            <w:tcW w:w="1451" w:type="dxa"/>
            <w:gridSpan w:val="3"/>
            <w:tcBorders>
              <w:left w:val="none" w:sz="0" w:space="0" w:color="auto"/>
              <w:right w:val="none" w:sz="0" w:space="0" w:color="auto"/>
            </w:tcBorders>
            <w:shd w:val="clear" w:color="auto" w:fill="4F81BD" w:themeFill="accent1"/>
          </w:tcPr>
          <w:p w:rsidR="00772765" w:rsidRPr="008B43F6" w:rsidRDefault="00772765" w:rsidP="00C12621">
            <w:pPr>
              <w:spacing w:line="276" w:lineRule="auto"/>
              <w:ind w:left="371"/>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color w:val="FFFFFF" w:themeColor="background1"/>
                <w:sz w:val="18"/>
                <w:szCs w:val="18"/>
                <w:lang w:eastAsia="es-MX"/>
              </w:rPr>
            </w:pPr>
            <w:r w:rsidRPr="008B43F6">
              <w:rPr>
                <w:rFonts w:eastAsia="Times New Roman" w:cs="Times New Roman"/>
                <w:b/>
                <w:color w:val="FFFFFF" w:themeColor="background1"/>
                <w:sz w:val="18"/>
                <w:szCs w:val="18"/>
                <w:lang w:eastAsia="es-MX"/>
              </w:rPr>
              <w:t>VI</w:t>
            </w:r>
          </w:p>
        </w:tc>
      </w:tr>
      <w:tr w:rsidR="00165CC7" w:rsidRPr="008B43F6" w:rsidTr="00BF0BE8">
        <w:trPr>
          <w:trHeight w:val="150"/>
          <w:jc w:val="center"/>
        </w:trPr>
        <w:tc>
          <w:tcPr>
            <w:cnfStyle w:val="001000000000" w:firstRow="0" w:lastRow="0" w:firstColumn="1" w:lastColumn="0" w:oddVBand="0" w:evenVBand="0" w:oddHBand="0" w:evenHBand="0" w:firstRowFirstColumn="0" w:firstRowLastColumn="0" w:lastRowFirstColumn="0" w:lastRowLastColumn="0"/>
            <w:tcW w:w="1102" w:type="dxa"/>
            <w:vMerge/>
            <w:shd w:val="clear" w:color="auto" w:fill="4F81BD" w:themeFill="accent1"/>
          </w:tcPr>
          <w:p w:rsidR="00772765" w:rsidRPr="008B43F6" w:rsidRDefault="00772765" w:rsidP="00C12621">
            <w:pPr>
              <w:spacing w:line="276" w:lineRule="auto"/>
              <w:ind w:left="371"/>
              <w:jc w:val="both"/>
              <w:rPr>
                <w:rFonts w:eastAsia="Times New Roman" w:cs="Times New Roman"/>
                <w:b w:val="0"/>
                <w:color w:val="FFFFFF" w:themeColor="background1"/>
                <w:sz w:val="18"/>
                <w:szCs w:val="18"/>
                <w:lang w:eastAsia="es-MX"/>
              </w:rPr>
            </w:pPr>
          </w:p>
        </w:tc>
        <w:tc>
          <w:tcPr>
            <w:tcW w:w="990" w:type="dxa"/>
            <w:gridSpan w:val="2"/>
            <w:shd w:val="clear" w:color="auto" w:fill="4F81BD" w:themeFill="accent1"/>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b/>
                <w:color w:val="FFFFFF" w:themeColor="background1"/>
                <w:sz w:val="18"/>
                <w:szCs w:val="18"/>
                <w:lang w:eastAsia="es-MX"/>
              </w:rPr>
            </w:pPr>
            <w:r w:rsidRPr="008B43F6">
              <w:rPr>
                <w:rFonts w:eastAsia="Times New Roman" w:cs="Times New Roman"/>
                <w:b/>
                <w:color w:val="FFFFFF" w:themeColor="background1"/>
                <w:sz w:val="18"/>
                <w:szCs w:val="18"/>
                <w:lang w:eastAsia="es-MX"/>
              </w:rPr>
              <w:t>Electricidad</w:t>
            </w:r>
          </w:p>
        </w:tc>
        <w:tc>
          <w:tcPr>
            <w:tcW w:w="461" w:type="dxa"/>
            <w:shd w:val="clear" w:color="auto" w:fill="4F81BD" w:themeFill="accent1"/>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b/>
                <w:color w:val="FFFFFF" w:themeColor="background1"/>
                <w:sz w:val="18"/>
                <w:szCs w:val="18"/>
                <w:lang w:eastAsia="es-MX"/>
              </w:rPr>
            </w:pPr>
            <w:r w:rsidRPr="008B43F6">
              <w:rPr>
                <w:rFonts w:eastAsia="Times New Roman" w:cs="Times New Roman"/>
                <w:b/>
                <w:color w:val="FFFFFF" w:themeColor="background1"/>
                <w:sz w:val="18"/>
                <w:szCs w:val="18"/>
                <w:lang w:eastAsia="es-MX"/>
              </w:rPr>
              <w:t>Gas</w:t>
            </w:r>
          </w:p>
        </w:tc>
        <w:tc>
          <w:tcPr>
            <w:tcW w:w="990" w:type="dxa"/>
            <w:gridSpan w:val="2"/>
            <w:shd w:val="clear" w:color="auto" w:fill="4F81BD" w:themeFill="accent1"/>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b/>
                <w:color w:val="FFFFFF" w:themeColor="background1"/>
                <w:sz w:val="18"/>
                <w:szCs w:val="18"/>
                <w:lang w:eastAsia="es-MX"/>
              </w:rPr>
            </w:pPr>
            <w:r w:rsidRPr="008B43F6">
              <w:rPr>
                <w:rFonts w:eastAsia="Times New Roman" w:cs="Times New Roman"/>
                <w:b/>
                <w:color w:val="FFFFFF" w:themeColor="background1"/>
                <w:sz w:val="18"/>
                <w:szCs w:val="18"/>
                <w:lang w:eastAsia="es-MX"/>
              </w:rPr>
              <w:t>Electricidad</w:t>
            </w:r>
          </w:p>
        </w:tc>
        <w:tc>
          <w:tcPr>
            <w:tcW w:w="461" w:type="dxa"/>
            <w:shd w:val="clear" w:color="auto" w:fill="4F81BD" w:themeFill="accent1"/>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b/>
                <w:color w:val="FFFFFF" w:themeColor="background1"/>
                <w:sz w:val="18"/>
                <w:szCs w:val="18"/>
                <w:lang w:eastAsia="es-MX"/>
              </w:rPr>
            </w:pPr>
            <w:r w:rsidRPr="008B43F6">
              <w:rPr>
                <w:rFonts w:eastAsia="Times New Roman" w:cs="Times New Roman"/>
                <w:b/>
                <w:color w:val="FFFFFF" w:themeColor="background1"/>
                <w:sz w:val="18"/>
                <w:szCs w:val="18"/>
                <w:lang w:eastAsia="es-MX"/>
              </w:rPr>
              <w:t>Gas</w:t>
            </w:r>
          </w:p>
        </w:tc>
        <w:tc>
          <w:tcPr>
            <w:tcW w:w="990" w:type="dxa"/>
            <w:gridSpan w:val="2"/>
            <w:shd w:val="clear" w:color="auto" w:fill="4F81BD" w:themeFill="accent1"/>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b/>
                <w:color w:val="FFFFFF" w:themeColor="background1"/>
                <w:sz w:val="18"/>
                <w:szCs w:val="18"/>
                <w:lang w:eastAsia="es-MX"/>
              </w:rPr>
            </w:pPr>
            <w:r w:rsidRPr="008B43F6">
              <w:rPr>
                <w:rFonts w:eastAsia="Times New Roman" w:cs="Times New Roman"/>
                <w:b/>
                <w:color w:val="FFFFFF" w:themeColor="background1"/>
                <w:sz w:val="18"/>
                <w:szCs w:val="18"/>
                <w:lang w:eastAsia="es-MX"/>
              </w:rPr>
              <w:t>Electricidad</w:t>
            </w:r>
          </w:p>
        </w:tc>
        <w:tc>
          <w:tcPr>
            <w:tcW w:w="461" w:type="dxa"/>
            <w:shd w:val="clear" w:color="auto" w:fill="4F81BD" w:themeFill="accent1"/>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b/>
                <w:color w:val="FFFFFF" w:themeColor="background1"/>
                <w:sz w:val="18"/>
                <w:szCs w:val="18"/>
                <w:lang w:eastAsia="es-MX"/>
              </w:rPr>
            </w:pPr>
            <w:r w:rsidRPr="008B43F6">
              <w:rPr>
                <w:rFonts w:eastAsia="Times New Roman" w:cs="Times New Roman"/>
                <w:b/>
                <w:color w:val="FFFFFF" w:themeColor="background1"/>
                <w:sz w:val="18"/>
                <w:szCs w:val="18"/>
                <w:lang w:eastAsia="es-MX"/>
              </w:rPr>
              <w:t>Gas</w:t>
            </w:r>
          </w:p>
        </w:tc>
        <w:tc>
          <w:tcPr>
            <w:tcW w:w="990" w:type="dxa"/>
            <w:gridSpan w:val="2"/>
            <w:shd w:val="clear" w:color="auto" w:fill="4F81BD" w:themeFill="accent1"/>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b/>
                <w:color w:val="FFFFFF" w:themeColor="background1"/>
                <w:sz w:val="18"/>
                <w:szCs w:val="18"/>
                <w:lang w:eastAsia="es-MX"/>
              </w:rPr>
            </w:pPr>
            <w:r w:rsidRPr="008B43F6">
              <w:rPr>
                <w:rFonts w:eastAsia="Times New Roman" w:cs="Times New Roman"/>
                <w:b/>
                <w:color w:val="FFFFFF" w:themeColor="background1"/>
                <w:sz w:val="18"/>
                <w:szCs w:val="18"/>
                <w:lang w:eastAsia="es-MX"/>
              </w:rPr>
              <w:t>Electricidad</w:t>
            </w:r>
          </w:p>
        </w:tc>
        <w:tc>
          <w:tcPr>
            <w:tcW w:w="461" w:type="dxa"/>
            <w:shd w:val="clear" w:color="auto" w:fill="4F81BD" w:themeFill="accent1"/>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b/>
                <w:color w:val="FFFFFF" w:themeColor="background1"/>
                <w:sz w:val="18"/>
                <w:szCs w:val="18"/>
                <w:lang w:eastAsia="es-MX"/>
              </w:rPr>
            </w:pPr>
            <w:r w:rsidRPr="008B43F6">
              <w:rPr>
                <w:rFonts w:eastAsia="Times New Roman" w:cs="Times New Roman"/>
                <w:b/>
                <w:color w:val="FFFFFF" w:themeColor="background1"/>
                <w:sz w:val="18"/>
                <w:szCs w:val="18"/>
                <w:lang w:eastAsia="es-MX"/>
              </w:rPr>
              <w:t>Gas</w:t>
            </w:r>
          </w:p>
        </w:tc>
      </w:tr>
      <w:tr w:rsidR="00165CC7" w:rsidRPr="008B43F6" w:rsidTr="00BF0BE8">
        <w:trPr>
          <w:cnfStyle w:val="000000100000" w:firstRow="0" w:lastRow="0" w:firstColumn="0" w:lastColumn="0" w:oddVBand="0" w:evenVBand="0" w:oddHBand="1" w:evenHBand="0" w:firstRowFirstColumn="0" w:firstRowLastColumn="0" w:lastRowFirstColumn="0" w:lastRowLastColumn="0"/>
          <w:trHeight w:val="197"/>
          <w:jc w:val="center"/>
        </w:trPr>
        <w:tc>
          <w:tcPr>
            <w:cnfStyle w:val="001000000000" w:firstRow="0" w:lastRow="0" w:firstColumn="1" w:lastColumn="0" w:oddVBand="0" w:evenVBand="0" w:oddHBand="0" w:evenHBand="0" w:firstRowFirstColumn="0" w:firstRowLastColumn="0" w:lastRowFirstColumn="0" w:lastRowLastColumn="0"/>
            <w:tcW w:w="1102" w:type="dxa"/>
            <w:tcBorders>
              <w:left w:val="none" w:sz="0" w:space="0" w:color="auto"/>
              <w:right w:val="none" w:sz="0" w:space="0" w:color="auto"/>
            </w:tcBorders>
            <w:shd w:val="clear" w:color="auto" w:fill="FFFFFF" w:themeFill="background1"/>
          </w:tcPr>
          <w:p w:rsidR="00772765" w:rsidRPr="008B43F6" w:rsidRDefault="00772765" w:rsidP="00C12621">
            <w:pPr>
              <w:spacing w:line="276" w:lineRule="auto"/>
              <w:jc w:val="both"/>
              <w:rPr>
                <w:rFonts w:eastAsia="Times New Roman" w:cs="Times New Roman"/>
                <w:color w:val="auto"/>
                <w:sz w:val="18"/>
                <w:szCs w:val="18"/>
                <w:lang w:eastAsia="es-MX"/>
              </w:rPr>
            </w:pPr>
            <w:r w:rsidRPr="008B43F6">
              <w:rPr>
                <w:rFonts w:eastAsia="Times New Roman" w:cs="Times New Roman"/>
                <w:color w:val="auto"/>
                <w:sz w:val="18"/>
                <w:szCs w:val="18"/>
                <w:lang w:eastAsia="es-MX"/>
              </w:rPr>
              <w:t>1</w:t>
            </w:r>
          </w:p>
        </w:tc>
        <w:tc>
          <w:tcPr>
            <w:tcW w:w="725" w:type="dxa"/>
            <w:tcBorders>
              <w:left w:val="none" w:sz="0" w:space="0" w:color="auto"/>
              <w:right w:val="none" w:sz="0" w:space="0" w:color="auto"/>
            </w:tcBorders>
            <w:shd w:val="clear" w:color="auto" w:fill="FFFFFF" w:themeFill="background1"/>
          </w:tcPr>
          <w:p w:rsidR="00772765" w:rsidRPr="008B43F6" w:rsidRDefault="00772765"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8B43F6">
              <w:rPr>
                <w:rFonts w:cstheme="minorHAnsi"/>
                <w:color w:val="auto"/>
                <w:sz w:val="18"/>
                <w:szCs w:val="18"/>
              </w:rPr>
              <w:t>408</w:t>
            </w:r>
          </w:p>
        </w:tc>
        <w:tc>
          <w:tcPr>
            <w:tcW w:w="726" w:type="dxa"/>
            <w:gridSpan w:val="2"/>
            <w:tcBorders>
              <w:left w:val="none" w:sz="0" w:space="0" w:color="auto"/>
              <w:right w:val="none" w:sz="0" w:space="0" w:color="auto"/>
            </w:tcBorders>
            <w:shd w:val="clear" w:color="auto" w:fill="FFFFFF" w:themeFill="background1"/>
          </w:tcPr>
          <w:p w:rsidR="00772765" w:rsidRPr="008B43F6" w:rsidRDefault="00772765"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8B43F6">
              <w:rPr>
                <w:rFonts w:cstheme="minorHAnsi"/>
                <w:color w:val="auto"/>
                <w:sz w:val="18"/>
                <w:szCs w:val="18"/>
              </w:rPr>
              <w:t>2,127</w:t>
            </w:r>
          </w:p>
        </w:tc>
        <w:tc>
          <w:tcPr>
            <w:tcW w:w="725" w:type="dxa"/>
            <w:tcBorders>
              <w:left w:val="none" w:sz="0" w:space="0" w:color="auto"/>
              <w:right w:val="none" w:sz="0" w:space="0" w:color="auto"/>
            </w:tcBorders>
            <w:shd w:val="clear" w:color="auto" w:fill="FFFFFF" w:themeFill="background1"/>
            <w:vAlign w:val="bottom"/>
          </w:tcPr>
          <w:p w:rsidR="00772765" w:rsidRPr="008B43F6" w:rsidRDefault="00772765"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8B43F6">
              <w:rPr>
                <w:rFonts w:cstheme="minorHAnsi"/>
                <w:color w:val="auto"/>
                <w:sz w:val="18"/>
                <w:szCs w:val="18"/>
              </w:rPr>
              <w:t>481</w:t>
            </w:r>
          </w:p>
        </w:tc>
        <w:tc>
          <w:tcPr>
            <w:tcW w:w="726" w:type="dxa"/>
            <w:gridSpan w:val="2"/>
            <w:tcBorders>
              <w:left w:val="none" w:sz="0" w:space="0" w:color="auto"/>
              <w:right w:val="none" w:sz="0" w:space="0" w:color="auto"/>
            </w:tcBorders>
            <w:shd w:val="clear" w:color="auto" w:fill="FFFFFF" w:themeFill="background1"/>
            <w:vAlign w:val="bottom"/>
          </w:tcPr>
          <w:p w:rsidR="00772765" w:rsidRPr="008B43F6" w:rsidRDefault="00772765"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8B43F6">
              <w:rPr>
                <w:rFonts w:cstheme="minorHAnsi"/>
                <w:color w:val="auto"/>
                <w:sz w:val="18"/>
                <w:szCs w:val="18"/>
              </w:rPr>
              <w:t>2,332</w:t>
            </w:r>
          </w:p>
        </w:tc>
        <w:tc>
          <w:tcPr>
            <w:tcW w:w="725" w:type="dxa"/>
            <w:tcBorders>
              <w:left w:val="none" w:sz="0" w:space="0" w:color="auto"/>
              <w:right w:val="none" w:sz="0" w:space="0" w:color="auto"/>
            </w:tcBorders>
            <w:shd w:val="clear" w:color="auto" w:fill="FFFFFF" w:themeFill="background1"/>
            <w:vAlign w:val="bottom"/>
          </w:tcPr>
          <w:p w:rsidR="00772765" w:rsidRPr="008B43F6" w:rsidRDefault="00772765"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8B43F6">
              <w:rPr>
                <w:rFonts w:cstheme="minorHAnsi"/>
                <w:color w:val="auto"/>
                <w:sz w:val="18"/>
                <w:szCs w:val="18"/>
              </w:rPr>
              <w:t>568</w:t>
            </w:r>
          </w:p>
        </w:tc>
        <w:tc>
          <w:tcPr>
            <w:tcW w:w="726" w:type="dxa"/>
            <w:gridSpan w:val="2"/>
            <w:tcBorders>
              <w:left w:val="none" w:sz="0" w:space="0" w:color="auto"/>
              <w:right w:val="none" w:sz="0" w:space="0" w:color="auto"/>
            </w:tcBorders>
            <w:shd w:val="clear" w:color="auto" w:fill="FFFFFF" w:themeFill="background1"/>
            <w:vAlign w:val="bottom"/>
          </w:tcPr>
          <w:p w:rsidR="00772765" w:rsidRPr="008B43F6" w:rsidRDefault="00772765"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8B43F6">
              <w:rPr>
                <w:rFonts w:cstheme="minorHAnsi"/>
                <w:color w:val="auto"/>
                <w:sz w:val="18"/>
                <w:szCs w:val="18"/>
              </w:rPr>
              <w:t>2,551</w:t>
            </w:r>
          </w:p>
        </w:tc>
        <w:tc>
          <w:tcPr>
            <w:tcW w:w="725" w:type="dxa"/>
            <w:tcBorders>
              <w:left w:val="none" w:sz="0" w:space="0" w:color="auto"/>
              <w:right w:val="none" w:sz="0" w:space="0" w:color="auto"/>
            </w:tcBorders>
            <w:shd w:val="clear" w:color="auto" w:fill="FFFFFF" w:themeFill="background1"/>
            <w:vAlign w:val="bottom"/>
          </w:tcPr>
          <w:p w:rsidR="00772765" w:rsidRPr="008B43F6" w:rsidRDefault="00772765"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8B43F6">
              <w:rPr>
                <w:rFonts w:cstheme="minorHAnsi"/>
                <w:color w:val="auto"/>
                <w:sz w:val="18"/>
                <w:szCs w:val="18"/>
              </w:rPr>
              <w:t>671</w:t>
            </w:r>
          </w:p>
        </w:tc>
        <w:tc>
          <w:tcPr>
            <w:tcW w:w="726" w:type="dxa"/>
            <w:gridSpan w:val="2"/>
            <w:tcBorders>
              <w:left w:val="none" w:sz="0" w:space="0" w:color="auto"/>
              <w:right w:val="none" w:sz="0" w:space="0" w:color="auto"/>
            </w:tcBorders>
            <w:shd w:val="clear" w:color="auto" w:fill="FFFFFF" w:themeFill="background1"/>
            <w:vAlign w:val="bottom"/>
          </w:tcPr>
          <w:p w:rsidR="00772765" w:rsidRPr="008B43F6" w:rsidRDefault="00772765"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8B43F6">
              <w:rPr>
                <w:rFonts w:cstheme="minorHAnsi"/>
                <w:color w:val="auto"/>
                <w:sz w:val="18"/>
                <w:szCs w:val="18"/>
              </w:rPr>
              <w:t>2,786</w:t>
            </w:r>
          </w:p>
        </w:tc>
      </w:tr>
      <w:tr w:rsidR="00165CC7" w:rsidRPr="008B43F6" w:rsidTr="00BF0BE8">
        <w:trPr>
          <w:trHeight w:val="42"/>
          <w:jc w:val="center"/>
        </w:trPr>
        <w:tc>
          <w:tcPr>
            <w:cnfStyle w:val="001000000000" w:firstRow="0" w:lastRow="0" w:firstColumn="1" w:lastColumn="0" w:oddVBand="0" w:evenVBand="0" w:oddHBand="0" w:evenHBand="0" w:firstRowFirstColumn="0" w:firstRowLastColumn="0" w:lastRowFirstColumn="0" w:lastRowLastColumn="0"/>
            <w:tcW w:w="1102" w:type="dxa"/>
            <w:shd w:val="clear" w:color="auto" w:fill="FFFFFF" w:themeFill="background1"/>
          </w:tcPr>
          <w:p w:rsidR="00772765" w:rsidRPr="008B43F6" w:rsidRDefault="00772765" w:rsidP="00C12621">
            <w:pPr>
              <w:spacing w:line="276" w:lineRule="auto"/>
              <w:jc w:val="both"/>
              <w:rPr>
                <w:rFonts w:eastAsia="Times New Roman" w:cs="Times New Roman"/>
                <w:color w:val="auto"/>
                <w:sz w:val="18"/>
                <w:szCs w:val="18"/>
                <w:lang w:eastAsia="es-MX"/>
              </w:rPr>
            </w:pPr>
            <w:r w:rsidRPr="008B43F6">
              <w:rPr>
                <w:rFonts w:eastAsia="Times New Roman" w:cs="Times New Roman"/>
                <w:color w:val="auto"/>
                <w:sz w:val="18"/>
                <w:szCs w:val="18"/>
                <w:lang w:eastAsia="es-MX"/>
              </w:rPr>
              <w:t>1A</w:t>
            </w:r>
          </w:p>
        </w:tc>
        <w:tc>
          <w:tcPr>
            <w:tcW w:w="725" w:type="dxa"/>
            <w:shd w:val="clear" w:color="auto" w:fill="FFFFFF" w:themeFill="background1"/>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8B43F6">
              <w:rPr>
                <w:rFonts w:cstheme="minorHAnsi"/>
                <w:color w:val="auto"/>
                <w:sz w:val="18"/>
                <w:szCs w:val="18"/>
              </w:rPr>
              <w:t>441</w:t>
            </w:r>
          </w:p>
        </w:tc>
        <w:tc>
          <w:tcPr>
            <w:tcW w:w="726" w:type="dxa"/>
            <w:gridSpan w:val="2"/>
            <w:shd w:val="clear" w:color="auto" w:fill="FFFFFF" w:themeFill="background1"/>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8B43F6">
              <w:rPr>
                <w:rFonts w:cstheme="minorHAnsi"/>
                <w:color w:val="auto"/>
                <w:sz w:val="18"/>
                <w:szCs w:val="18"/>
              </w:rPr>
              <w:t>2,160</w:t>
            </w:r>
          </w:p>
        </w:tc>
        <w:tc>
          <w:tcPr>
            <w:tcW w:w="725" w:type="dxa"/>
            <w:shd w:val="clear" w:color="auto" w:fill="FFFFFF" w:themeFill="background1"/>
            <w:vAlign w:val="bottom"/>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8B43F6">
              <w:rPr>
                <w:rFonts w:cstheme="minorHAnsi"/>
                <w:color w:val="auto"/>
                <w:sz w:val="18"/>
                <w:szCs w:val="18"/>
              </w:rPr>
              <w:t>521</w:t>
            </w:r>
          </w:p>
        </w:tc>
        <w:tc>
          <w:tcPr>
            <w:tcW w:w="726" w:type="dxa"/>
            <w:gridSpan w:val="2"/>
            <w:shd w:val="clear" w:color="auto" w:fill="FFFFFF" w:themeFill="background1"/>
            <w:vAlign w:val="bottom"/>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8B43F6">
              <w:rPr>
                <w:rFonts w:cstheme="minorHAnsi"/>
                <w:color w:val="auto"/>
                <w:sz w:val="18"/>
                <w:szCs w:val="18"/>
              </w:rPr>
              <w:t>2,240</w:t>
            </w:r>
          </w:p>
        </w:tc>
        <w:tc>
          <w:tcPr>
            <w:tcW w:w="725" w:type="dxa"/>
            <w:shd w:val="clear" w:color="auto" w:fill="FFFFFF" w:themeFill="background1"/>
            <w:vAlign w:val="bottom"/>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8B43F6">
              <w:rPr>
                <w:rFonts w:cstheme="minorHAnsi"/>
                <w:color w:val="auto"/>
                <w:sz w:val="18"/>
                <w:szCs w:val="18"/>
              </w:rPr>
              <w:t>614</w:t>
            </w:r>
          </w:p>
        </w:tc>
        <w:tc>
          <w:tcPr>
            <w:tcW w:w="726" w:type="dxa"/>
            <w:gridSpan w:val="2"/>
            <w:shd w:val="clear" w:color="auto" w:fill="FFFFFF" w:themeFill="background1"/>
            <w:vAlign w:val="bottom"/>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8B43F6">
              <w:rPr>
                <w:rFonts w:cstheme="minorHAnsi"/>
                <w:color w:val="auto"/>
                <w:sz w:val="18"/>
                <w:szCs w:val="18"/>
              </w:rPr>
              <w:t>2,465</w:t>
            </w:r>
          </w:p>
        </w:tc>
        <w:tc>
          <w:tcPr>
            <w:tcW w:w="725" w:type="dxa"/>
            <w:shd w:val="clear" w:color="auto" w:fill="FFFFFF" w:themeFill="background1"/>
            <w:vAlign w:val="bottom"/>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8B43F6">
              <w:rPr>
                <w:rFonts w:cstheme="minorHAnsi"/>
                <w:color w:val="auto"/>
                <w:sz w:val="18"/>
                <w:szCs w:val="18"/>
              </w:rPr>
              <w:t>725</w:t>
            </w:r>
          </w:p>
        </w:tc>
        <w:tc>
          <w:tcPr>
            <w:tcW w:w="726" w:type="dxa"/>
            <w:gridSpan w:val="2"/>
            <w:shd w:val="clear" w:color="auto" w:fill="FFFFFF" w:themeFill="background1"/>
            <w:vAlign w:val="bottom"/>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8B43F6">
              <w:rPr>
                <w:rFonts w:cstheme="minorHAnsi"/>
                <w:color w:val="auto"/>
                <w:sz w:val="18"/>
                <w:szCs w:val="18"/>
              </w:rPr>
              <w:t>2,709</w:t>
            </w:r>
          </w:p>
        </w:tc>
      </w:tr>
      <w:tr w:rsidR="00165CC7" w:rsidRPr="008B43F6" w:rsidTr="00BF0BE8">
        <w:trPr>
          <w:cnfStyle w:val="000000100000" w:firstRow="0" w:lastRow="0" w:firstColumn="0" w:lastColumn="0" w:oddVBand="0" w:evenVBand="0" w:oddHBand="1" w:evenHBand="0" w:firstRowFirstColumn="0" w:firstRowLastColumn="0" w:lastRowFirstColumn="0" w:lastRowLastColumn="0"/>
          <w:trHeight w:val="42"/>
          <w:jc w:val="center"/>
        </w:trPr>
        <w:tc>
          <w:tcPr>
            <w:cnfStyle w:val="001000000000" w:firstRow="0" w:lastRow="0" w:firstColumn="1" w:lastColumn="0" w:oddVBand="0" w:evenVBand="0" w:oddHBand="0" w:evenHBand="0" w:firstRowFirstColumn="0" w:firstRowLastColumn="0" w:lastRowFirstColumn="0" w:lastRowLastColumn="0"/>
            <w:tcW w:w="1102" w:type="dxa"/>
            <w:tcBorders>
              <w:left w:val="none" w:sz="0" w:space="0" w:color="auto"/>
              <w:right w:val="none" w:sz="0" w:space="0" w:color="auto"/>
            </w:tcBorders>
            <w:shd w:val="clear" w:color="auto" w:fill="FFFFFF" w:themeFill="background1"/>
          </w:tcPr>
          <w:p w:rsidR="00772765" w:rsidRPr="008B43F6" w:rsidRDefault="00772765" w:rsidP="00C12621">
            <w:pPr>
              <w:spacing w:line="276" w:lineRule="auto"/>
              <w:jc w:val="both"/>
              <w:rPr>
                <w:rFonts w:eastAsia="Times New Roman" w:cs="Times New Roman"/>
                <w:color w:val="auto"/>
                <w:sz w:val="18"/>
                <w:szCs w:val="18"/>
                <w:lang w:eastAsia="es-MX"/>
              </w:rPr>
            </w:pPr>
            <w:r w:rsidRPr="008B43F6">
              <w:rPr>
                <w:rFonts w:eastAsia="Times New Roman" w:cs="Times New Roman"/>
                <w:color w:val="auto"/>
                <w:sz w:val="18"/>
                <w:szCs w:val="18"/>
                <w:lang w:eastAsia="es-MX"/>
              </w:rPr>
              <w:t>1B</w:t>
            </w:r>
          </w:p>
        </w:tc>
        <w:tc>
          <w:tcPr>
            <w:tcW w:w="725" w:type="dxa"/>
            <w:tcBorders>
              <w:left w:val="none" w:sz="0" w:space="0" w:color="auto"/>
              <w:right w:val="none" w:sz="0" w:space="0" w:color="auto"/>
            </w:tcBorders>
            <w:shd w:val="clear" w:color="auto" w:fill="FFFFFF" w:themeFill="background1"/>
          </w:tcPr>
          <w:p w:rsidR="00772765" w:rsidRPr="008B43F6" w:rsidRDefault="00772765"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8B43F6">
              <w:rPr>
                <w:rFonts w:cstheme="minorHAnsi"/>
                <w:color w:val="auto"/>
                <w:sz w:val="18"/>
                <w:szCs w:val="18"/>
              </w:rPr>
              <w:t>519</w:t>
            </w:r>
          </w:p>
        </w:tc>
        <w:tc>
          <w:tcPr>
            <w:tcW w:w="726" w:type="dxa"/>
            <w:gridSpan w:val="2"/>
            <w:tcBorders>
              <w:left w:val="none" w:sz="0" w:space="0" w:color="auto"/>
              <w:right w:val="none" w:sz="0" w:space="0" w:color="auto"/>
            </w:tcBorders>
            <w:shd w:val="clear" w:color="auto" w:fill="FFFFFF" w:themeFill="background1"/>
          </w:tcPr>
          <w:p w:rsidR="00772765" w:rsidRPr="008B43F6" w:rsidRDefault="00772765"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8B43F6">
              <w:rPr>
                <w:rFonts w:cstheme="minorHAnsi"/>
                <w:color w:val="auto"/>
                <w:sz w:val="18"/>
                <w:szCs w:val="18"/>
              </w:rPr>
              <w:t>695</w:t>
            </w:r>
          </w:p>
        </w:tc>
        <w:tc>
          <w:tcPr>
            <w:tcW w:w="725" w:type="dxa"/>
            <w:tcBorders>
              <w:left w:val="none" w:sz="0" w:space="0" w:color="auto"/>
              <w:right w:val="none" w:sz="0" w:space="0" w:color="auto"/>
            </w:tcBorders>
            <w:shd w:val="clear" w:color="auto" w:fill="FFFFFF" w:themeFill="background1"/>
            <w:vAlign w:val="bottom"/>
          </w:tcPr>
          <w:p w:rsidR="00772765" w:rsidRPr="008B43F6" w:rsidRDefault="00772765"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8B43F6">
              <w:rPr>
                <w:rFonts w:cstheme="minorHAnsi"/>
                <w:color w:val="auto"/>
                <w:sz w:val="18"/>
                <w:szCs w:val="18"/>
              </w:rPr>
              <w:t>612</w:t>
            </w:r>
          </w:p>
        </w:tc>
        <w:tc>
          <w:tcPr>
            <w:tcW w:w="726" w:type="dxa"/>
            <w:gridSpan w:val="2"/>
            <w:tcBorders>
              <w:left w:val="none" w:sz="0" w:space="0" w:color="auto"/>
              <w:right w:val="none" w:sz="0" w:space="0" w:color="auto"/>
            </w:tcBorders>
            <w:shd w:val="clear" w:color="auto" w:fill="FFFFFF" w:themeFill="background1"/>
            <w:vAlign w:val="bottom"/>
          </w:tcPr>
          <w:p w:rsidR="00772765" w:rsidRPr="008B43F6" w:rsidRDefault="00772765"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8B43F6">
              <w:rPr>
                <w:rFonts w:cstheme="minorHAnsi"/>
                <w:color w:val="auto"/>
                <w:sz w:val="18"/>
                <w:szCs w:val="18"/>
              </w:rPr>
              <w:t>1,009</w:t>
            </w:r>
          </w:p>
        </w:tc>
        <w:tc>
          <w:tcPr>
            <w:tcW w:w="725" w:type="dxa"/>
            <w:tcBorders>
              <w:left w:val="none" w:sz="0" w:space="0" w:color="auto"/>
              <w:right w:val="none" w:sz="0" w:space="0" w:color="auto"/>
            </w:tcBorders>
            <w:shd w:val="clear" w:color="auto" w:fill="FFFFFF" w:themeFill="background1"/>
            <w:vAlign w:val="bottom"/>
          </w:tcPr>
          <w:p w:rsidR="00772765" w:rsidRPr="008B43F6" w:rsidRDefault="00772765"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8B43F6">
              <w:rPr>
                <w:rFonts w:cstheme="minorHAnsi"/>
                <w:color w:val="auto"/>
                <w:sz w:val="18"/>
                <w:szCs w:val="18"/>
              </w:rPr>
              <w:t>722</w:t>
            </w:r>
          </w:p>
        </w:tc>
        <w:tc>
          <w:tcPr>
            <w:tcW w:w="726" w:type="dxa"/>
            <w:gridSpan w:val="2"/>
            <w:tcBorders>
              <w:left w:val="none" w:sz="0" w:space="0" w:color="auto"/>
              <w:right w:val="none" w:sz="0" w:space="0" w:color="auto"/>
            </w:tcBorders>
            <w:shd w:val="clear" w:color="auto" w:fill="FFFFFF" w:themeFill="background1"/>
            <w:vAlign w:val="bottom"/>
          </w:tcPr>
          <w:p w:rsidR="00772765" w:rsidRPr="008B43F6" w:rsidRDefault="00772765"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8B43F6">
              <w:rPr>
                <w:rFonts w:cstheme="minorHAnsi"/>
                <w:color w:val="auto"/>
                <w:sz w:val="18"/>
                <w:szCs w:val="18"/>
              </w:rPr>
              <w:t>2,045</w:t>
            </w:r>
          </w:p>
        </w:tc>
        <w:tc>
          <w:tcPr>
            <w:tcW w:w="725" w:type="dxa"/>
            <w:tcBorders>
              <w:left w:val="none" w:sz="0" w:space="0" w:color="auto"/>
              <w:right w:val="none" w:sz="0" w:space="0" w:color="auto"/>
            </w:tcBorders>
            <w:shd w:val="clear" w:color="auto" w:fill="FFFFFF" w:themeFill="background1"/>
            <w:vAlign w:val="bottom"/>
          </w:tcPr>
          <w:p w:rsidR="00772765" w:rsidRPr="008B43F6" w:rsidRDefault="00772765"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8B43F6">
              <w:rPr>
                <w:rFonts w:cstheme="minorHAnsi"/>
                <w:color w:val="auto"/>
                <w:sz w:val="18"/>
                <w:szCs w:val="18"/>
              </w:rPr>
              <w:t>853</w:t>
            </w:r>
          </w:p>
        </w:tc>
        <w:tc>
          <w:tcPr>
            <w:tcW w:w="726" w:type="dxa"/>
            <w:gridSpan w:val="2"/>
            <w:tcBorders>
              <w:left w:val="none" w:sz="0" w:space="0" w:color="auto"/>
              <w:right w:val="none" w:sz="0" w:space="0" w:color="auto"/>
            </w:tcBorders>
            <w:shd w:val="clear" w:color="auto" w:fill="FFFFFF" w:themeFill="background1"/>
            <w:vAlign w:val="bottom"/>
          </w:tcPr>
          <w:p w:rsidR="00772765" w:rsidRPr="008B43F6" w:rsidRDefault="00772765"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8B43F6">
              <w:rPr>
                <w:rFonts w:cstheme="minorHAnsi"/>
                <w:color w:val="auto"/>
                <w:sz w:val="18"/>
                <w:szCs w:val="18"/>
              </w:rPr>
              <w:t>2,175</w:t>
            </w:r>
          </w:p>
        </w:tc>
      </w:tr>
      <w:tr w:rsidR="00165CC7" w:rsidRPr="008B43F6" w:rsidTr="00BF0BE8">
        <w:trPr>
          <w:trHeight w:val="42"/>
          <w:jc w:val="center"/>
        </w:trPr>
        <w:tc>
          <w:tcPr>
            <w:cnfStyle w:val="001000000000" w:firstRow="0" w:lastRow="0" w:firstColumn="1" w:lastColumn="0" w:oddVBand="0" w:evenVBand="0" w:oddHBand="0" w:evenHBand="0" w:firstRowFirstColumn="0" w:firstRowLastColumn="0" w:lastRowFirstColumn="0" w:lastRowLastColumn="0"/>
            <w:tcW w:w="1102" w:type="dxa"/>
            <w:shd w:val="clear" w:color="auto" w:fill="FFFFFF" w:themeFill="background1"/>
          </w:tcPr>
          <w:p w:rsidR="00772765" w:rsidRPr="008B43F6" w:rsidRDefault="00772765" w:rsidP="00C12621">
            <w:pPr>
              <w:spacing w:line="276" w:lineRule="auto"/>
              <w:jc w:val="both"/>
              <w:rPr>
                <w:rFonts w:eastAsia="Times New Roman" w:cs="Times New Roman"/>
                <w:color w:val="auto"/>
                <w:sz w:val="18"/>
                <w:szCs w:val="18"/>
                <w:lang w:eastAsia="es-MX"/>
              </w:rPr>
            </w:pPr>
            <w:r w:rsidRPr="008B43F6">
              <w:rPr>
                <w:rFonts w:eastAsia="Times New Roman" w:cs="Times New Roman"/>
                <w:color w:val="auto"/>
                <w:sz w:val="18"/>
                <w:szCs w:val="18"/>
                <w:lang w:eastAsia="es-MX"/>
              </w:rPr>
              <w:t>1C</w:t>
            </w:r>
          </w:p>
        </w:tc>
        <w:tc>
          <w:tcPr>
            <w:tcW w:w="725" w:type="dxa"/>
            <w:shd w:val="clear" w:color="auto" w:fill="FFFFFF" w:themeFill="background1"/>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8B43F6">
              <w:rPr>
                <w:rFonts w:cstheme="minorHAnsi"/>
                <w:color w:val="auto"/>
                <w:sz w:val="18"/>
                <w:szCs w:val="18"/>
              </w:rPr>
              <w:t>777</w:t>
            </w:r>
          </w:p>
        </w:tc>
        <w:tc>
          <w:tcPr>
            <w:tcW w:w="726" w:type="dxa"/>
            <w:gridSpan w:val="2"/>
            <w:shd w:val="clear" w:color="auto" w:fill="FFFFFF" w:themeFill="background1"/>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8B43F6">
              <w:rPr>
                <w:rFonts w:cstheme="minorHAnsi"/>
                <w:color w:val="auto"/>
                <w:sz w:val="18"/>
                <w:szCs w:val="18"/>
              </w:rPr>
              <w:t>910</w:t>
            </w:r>
          </w:p>
        </w:tc>
        <w:tc>
          <w:tcPr>
            <w:tcW w:w="725" w:type="dxa"/>
            <w:shd w:val="clear" w:color="auto" w:fill="FFFFFF" w:themeFill="background1"/>
            <w:vAlign w:val="bottom"/>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8B43F6">
              <w:rPr>
                <w:rFonts w:cstheme="minorHAnsi"/>
                <w:color w:val="auto"/>
                <w:sz w:val="18"/>
                <w:szCs w:val="18"/>
              </w:rPr>
              <w:t>870</w:t>
            </w:r>
          </w:p>
        </w:tc>
        <w:tc>
          <w:tcPr>
            <w:tcW w:w="726" w:type="dxa"/>
            <w:gridSpan w:val="2"/>
            <w:shd w:val="clear" w:color="auto" w:fill="FFFFFF" w:themeFill="background1"/>
            <w:vAlign w:val="bottom"/>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8B43F6">
              <w:rPr>
                <w:rFonts w:cstheme="minorHAnsi"/>
                <w:color w:val="auto"/>
                <w:sz w:val="18"/>
                <w:szCs w:val="18"/>
              </w:rPr>
              <w:t>1,002</w:t>
            </w:r>
          </w:p>
        </w:tc>
        <w:tc>
          <w:tcPr>
            <w:tcW w:w="725" w:type="dxa"/>
            <w:shd w:val="clear" w:color="auto" w:fill="FFFFFF" w:themeFill="background1"/>
            <w:vAlign w:val="bottom"/>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8B43F6">
              <w:rPr>
                <w:rFonts w:cstheme="minorHAnsi"/>
                <w:color w:val="auto"/>
                <w:sz w:val="18"/>
                <w:szCs w:val="18"/>
              </w:rPr>
              <w:t>1,026</w:t>
            </w:r>
          </w:p>
        </w:tc>
        <w:tc>
          <w:tcPr>
            <w:tcW w:w="726" w:type="dxa"/>
            <w:gridSpan w:val="2"/>
            <w:shd w:val="clear" w:color="auto" w:fill="FFFFFF" w:themeFill="background1"/>
            <w:vAlign w:val="bottom"/>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8B43F6">
              <w:rPr>
                <w:rFonts w:cstheme="minorHAnsi"/>
                <w:color w:val="auto"/>
                <w:sz w:val="18"/>
                <w:szCs w:val="18"/>
              </w:rPr>
              <w:t>1,180</w:t>
            </w:r>
          </w:p>
        </w:tc>
        <w:tc>
          <w:tcPr>
            <w:tcW w:w="725" w:type="dxa"/>
            <w:shd w:val="clear" w:color="auto" w:fill="FFFFFF" w:themeFill="background1"/>
            <w:vAlign w:val="bottom"/>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8B43F6">
              <w:rPr>
                <w:rFonts w:cstheme="minorHAnsi"/>
                <w:color w:val="auto"/>
                <w:sz w:val="18"/>
                <w:szCs w:val="18"/>
              </w:rPr>
              <w:t>1,212</w:t>
            </w:r>
          </w:p>
        </w:tc>
        <w:tc>
          <w:tcPr>
            <w:tcW w:w="726" w:type="dxa"/>
            <w:gridSpan w:val="2"/>
            <w:shd w:val="clear" w:color="auto" w:fill="FFFFFF" w:themeFill="background1"/>
            <w:vAlign w:val="bottom"/>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8B43F6">
              <w:rPr>
                <w:rFonts w:cstheme="minorHAnsi"/>
                <w:color w:val="auto"/>
                <w:sz w:val="18"/>
                <w:szCs w:val="18"/>
              </w:rPr>
              <w:t>1,388</w:t>
            </w:r>
          </w:p>
        </w:tc>
      </w:tr>
      <w:tr w:rsidR="00165CC7" w:rsidRPr="008B43F6" w:rsidTr="00BF0BE8">
        <w:trPr>
          <w:cnfStyle w:val="000000100000" w:firstRow="0" w:lastRow="0" w:firstColumn="0" w:lastColumn="0" w:oddVBand="0" w:evenVBand="0" w:oddHBand="1" w:evenHBand="0" w:firstRowFirstColumn="0" w:firstRowLastColumn="0" w:lastRowFirstColumn="0" w:lastRowLastColumn="0"/>
          <w:trHeight w:val="42"/>
          <w:jc w:val="center"/>
        </w:trPr>
        <w:tc>
          <w:tcPr>
            <w:cnfStyle w:val="001000000000" w:firstRow="0" w:lastRow="0" w:firstColumn="1" w:lastColumn="0" w:oddVBand="0" w:evenVBand="0" w:oddHBand="0" w:evenHBand="0" w:firstRowFirstColumn="0" w:firstRowLastColumn="0" w:lastRowFirstColumn="0" w:lastRowLastColumn="0"/>
            <w:tcW w:w="1102" w:type="dxa"/>
            <w:tcBorders>
              <w:left w:val="none" w:sz="0" w:space="0" w:color="auto"/>
              <w:right w:val="none" w:sz="0" w:space="0" w:color="auto"/>
            </w:tcBorders>
            <w:shd w:val="clear" w:color="auto" w:fill="FFFFFF" w:themeFill="background1"/>
          </w:tcPr>
          <w:p w:rsidR="00772765" w:rsidRPr="008B43F6" w:rsidRDefault="00772765" w:rsidP="00C12621">
            <w:pPr>
              <w:spacing w:line="276" w:lineRule="auto"/>
              <w:jc w:val="both"/>
              <w:rPr>
                <w:rFonts w:eastAsia="Times New Roman" w:cs="Times New Roman"/>
                <w:color w:val="auto"/>
                <w:sz w:val="18"/>
                <w:szCs w:val="18"/>
                <w:lang w:eastAsia="es-MX"/>
              </w:rPr>
            </w:pPr>
            <w:r w:rsidRPr="008B43F6">
              <w:rPr>
                <w:rFonts w:eastAsia="Times New Roman" w:cs="Times New Roman"/>
                <w:color w:val="auto"/>
                <w:sz w:val="18"/>
                <w:szCs w:val="18"/>
                <w:lang w:eastAsia="es-MX"/>
              </w:rPr>
              <w:t>1D</w:t>
            </w:r>
          </w:p>
        </w:tc>
        <w:tc>
          <w:tcPr>
            <w:tcW w:w="725" w:type="dxa"/>
            <w:tcBorders>
              <w:left w:val="none" w:sz="0" w:space="0" w:color="auto"/>
              <w:right w:val="none" w:sz="0" w:space="0" w:color="auto"/>
            </w:tcBorders>
            <w:shd w:val="clear" w:color="auto" w:fill="FFFFFF" w:themeFill="background1"/>
          </w:tcPr>
          <w:p w:rsidR="00772765" w:rsidRPr="008B43F6" w:rsidRDefault="00772765"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8B43F6">
              <w:rPr>
                <w:rFonts w:cstheme="minorHAnsi"/>
                <w:color w:val="auto"/>
                <w:sz w:val="18"/>
                <w:szCs w:val="18"/>
              </w:rPr>
              <w:t>1,049</w:t>
            </w:r>
          </w:p>
        </w:tc>
        <w:tc>
          <w:tcPr>
            <w:tcW w:w="726" w:type="dxa"/>
            <w:gridSpan w:val="2"/>
            <w:tcBorders>
              <w:left w:val="none" w:sz="0" w:space="0" w:color="auto"/>
              <w:right w:val="none" w:sz="0" w:space="0" w:color="auto"/>
            </w:tcBorders>
            <w:shd w:val="clear" w:color="auto" w:fill="FFFFFF" w:themeFill="background1"/>
          </w:tcPr>
          <w:p w:rsidR="00772765" w:rsidRPr="008B43F6" w:rsidRDefault="00772765"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8B43F6">
              <w:rPr>
                <w:rFonts w:cstheme="minorHAnsi"/>
                <w:color w:val="auto"/>
                <w:sz w:val="18"/>
                <w:szCs w:val="18"/>
              </w:rPr>
              <w:t>1,137</w:t>
            </w:r>
          </w:p>
        </w:tc>
        <w:tc>
          <w:tcPr>
            <w:tcW w:w="725" w:type="dxa"/>
            <w:tcBorders>
              <w:left w:val="none" w:sz="0" w:space="0" w:color="auto"/>
              <w:right w:val="none" w:sz="0" w:space="0" w:color="auto"/>
            </w:tcBorders>
            <w:shd w:val="clear" w:color="auto" w:fill="FFFFFF" w:themeFill="background1"/>
            <w:vAlign w:val="bottom"/>
          </w:tcPr>
          <w:p w:rsidR="00772765" w:rsidRPr="008B43F6" w:rsidRDefault="00772765"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8B43F6">
              <w:rPr>
                <w:rFonts w:cstheme="minorHAnsi"/>
                <w:color w:val="auto"/>
                <w:sz w:val="18"/>
                <w:szCs w:val="18"/>
              </w:rPr>
              <w:t>1,175</w:t>
            </w:r>
          </w:p>
        </w:tc>
        <w:tc>
          <w:tcPr>
            <w:tcW w:w="726" w:type="dxa"/>
            <w:gridSpan w:val="2"/>
            <w:tcBorders>
              <w:left w:val="none" w:sz="0" w:space="0" w:color="auto"/>
              <w:right w:val="none" w:sz="0" w:space="0" w:color="auto"/>
            </w:tcBorders>
            <w:shd w:val="clear" w:color="auto" w:fill="FFFFFF" w:themeFill="background1"/>
            <w:vAlign w:val="bottom"/>
          </w:tcPr>
          <w:p w:rsidR="00772765" w:rsidRPr="008B43F6" w:rsidRDefault="00772765"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8B43F6">
              <w:rPr>
                <w:rFonts w:cstheme="minorHAnsi"/>
                <w:color w:val="auto"/>
                <w:sz w:val="18"/>
                <w:szCs w:val="18"/>
              </w:rPr>
              <w:t>1,285</w:t>
            </w:r>
          </w:p>
        </w:tc>
        <w:tc>
          <w:tcPr>
            <w:tcW w:w="725" w:type="dxa"/>
            <w:tcBorders>
              <w:left w:val="none" w:sz="0" w:space="0" w:color="auto"/>
              <w:right w:val="none" w:sz="0" w:space="0" w:color="auto"/>
            </w:tcBorders>
            <w:shd w:val="clear" w:color="auto" w:fill="FFFFFF" w:themeFill="background1"/>
            <w:vAlign w:val="bottom"/>
          </w:tcPr>
          <w:p w:rsidR="00772765" w:rsidRPr="008B43F6" w:rsidRDefault="00772765"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8B43F6">
              <w:rPr>
                <w:rFonts w:cstheme="minorHAnsi"/>
                <w:color w:val="auto"/>
                <w:sz w:val="18"/>
                <w:szCs w:val="18"/>
              </w:rPr>
              <w:t>1,386</w:t>
            </w:r>
          </w:p>
        </w:tc>
        <w:tc>
          <w:tcPr>
            <w:tcW w:w="726" w:type="dxa"/>
            <w:gridSpan w:val="2"/>
            <w:tcBorders>
              <w:left w:val="none" w:sz="0" w:space="0" w:color="auto"/>
              <w:right w:val="none" w:sz="0" w:space="0" w:color="auto"/>
            </w:tcBorders>
            <w:shd w:val="clear" w:color="auto" w:fill="FFFFFF" w:themeFill="background1"/>
            <w:vAlign w:val="bottom"/>
          </w:tcPr>
          <w:p w:rsidR="00772765" w:rsidRPr="008B43F6" w:rsidRDefault="00772765"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8B43F6">
              <w:rPr>
                <w:rFonts w:cstheme="minorHAnsi"/>
                <w:color w:val="auto"/>
                <w:sz w:val="18"/>
                <w:szCs w:val="18"/>
              </w:rPr>
              <w:t>1,519</w:t>
            </w:r>
          </w:p>
        </w:tc>
        <w:tc>
          <w:tcPr>
            <w:tcW w:w="725" w:type="dxa"/>
            <w:tcBorders>
              <w:left w:val="none" w:sz="0" w:space="0" w:color="auto"/>
              <w:right w:val="none" w:sz="0" w:space="0" w:color="auto"/>
            </w:tcBorders>
            <w:shd w:val="clear" w:color="auto" w:fill="FFFFFF" w:themeFill="background1"/>
            <w:vAlign w:val="bottom"/>
          </w:tcPr>
          <w:p w:rsidR="00772765" w:rsidRPr="008B43F6" w:rsidRDefault="00772765"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8B43F6">
              <w:rPr>
                <w:rFonts w:cstheme="minorHAnsi"/>
                <w:color w:val="auto"/>
                <w:sz w:val="18"/>
                <w:szCs w:val="18"/>
              </w:rPr>
              <w:t>1,549</w:t>
            </w:r>
          </w:p>
        </w:tc>
        <w:tc>
          <w:tcPr>
            <w:tcW w:w="726" w:type="dxa"/>
            <w:gridSpan w:val="2"/>
            <w:tcBorders>
              <w:left w:val="none" w:sz="0" w:space="0" w:color="auto"/>
              <w:right w:val="none" w:sz="0" w:space="0" w:color="auto"/>
            </w:tcBorders>
            <w:shd w:val="clear" w:color="auto" w:fill="FFFFFF" w:themeFill="background1"/>
            <w:vAlign w:val="bottom"/>
          </w:tcPr>
          <w:p w:rsidR="00772765" w:rsidRPr="008B43F6" w:rsidRDefault="00772765"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8B43F6">
              <w:rPr>
                <w:rFonts w:cstheme="minorHAnsi"/>
                <w:color w:val="auto"/>
                <w:sz w:val="18"/>
                <w:szCs w:val="18"/>
              </w:rPr>
              <w:t>1,681</w:t>
            </w:r>
          </w:p>
        </w:tc>
      </w:tr>
      <w:tr w:rsidR="00165CC7" w:rsidRPr="008B43F6" w:rsidTr="00BF0BE8">
        <w:trPr>
          <w:trHeight w:val="42"/>
          <w:jc w:val="center"/>
        </w:trPr>
        <w:tc>
          <w:tcPr>
            <w:cnfStyle w:val="001000000000" w:firstRow="0" w:lastRow="0" w:firstColumn="1" w:lastColumn="0" w:oddVBand="0" w:evenVBand="0" w:oddHBand="0" w:evenHBand="0" w:firstRowFirstColumn="0" w:firstRowLastColumn="0" w:lastRowFirstColumn="0" w:lastRowLastColumn="0"/>
            <w:tcW w:w="1102" w:type="dxa"/>
            <w:shd w:val="clear" w:color="auto" w:fill="FFFFFF" w:themeFill="background1"/>
          </w:tcPr>
          <w:p w:rsidR="00772765" w:rsidRPr="008B43F6" w:rsidRDefault="00772765" w:rsidP="00C12621">
            <w:pPr>
              <w:spacing w:line="276" w:lineRule="auto"/>
              <w:jc w:val="both"/>
              <w:rPr>
                <w:rFonts w:eastAsia="Times New Roman" w:cs="Times New Roman"/>
                <w:color w:val="auto"/>
                <w:sz w:val="18"/>
                <w:szCs w:val="18"/>
                <w:lang w:eastAsia="es-MX"/>
              </w:rPr>
            </w:pPr>
            <w:r w:rsidRPr="008B43F6">
              <w:rPr>
                <w:rFonts w:eastAsia="Times New Roman" w:cs="Times New Roman"/>
                <w:color w:val="auto"/>
                <w:sz w:val="18"/>
                <w:szCs w:val="18"/>
                <w:lang w:eastAsia="es-MX"/>
              </w:rPr>
              <w:t>1E</w:t>
            </w:r>
          </w:p>
        </w:tc>
        <w:tc>
          <w:tcPr>
            <w:tcW w:w="725" w:type="dxa"/>
            <w:shd w:val="clear" w:color="auto" w:fill="FFFFFF" w:themeFill="background1"/>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8B43F6">
              <w:rPr>
                <w:rFonts w:cstheme="minorHAnsi"/>
                <w:color w:val="auto"/>
                <w:sz w:val="18"/>
                <w:szCs w:val="18"/>
              </w:rPr>
              <w:t>1,248</w:t>
            </w:r>
          </w:p>
        </w:tc>
        <w:tc>
          <w:tcPr>
            <w:tcW w:w="726" w:type="dxa"/>
            <w:gridSpan w:val="2"/>
            <w:shd w:val="clear" w:color="auto" w:fill="FFFFFF" w:themeFill="background1"/>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8B43F6">
              <w:rPr>
                <w:rFonts w:cstheme="minorHAnsi"/>
                <w:color w:val="auto"/>
                <w:sz w:val="18"/>
                <w:szCs w:val="18"/>
              </w:rPr>
              <w:t>1,336</w:t>
            </w:r>
          </w:p>
        </w:tc>
        <w:tc>
          <w:tcPr>
            <w:tcW w:w="725" w:type="dxa"/>
            <w:shd w:val="clear" w:color="auto" w:fill="FFFFFF" w:themeFill="background1"/>
            <w:vAlign w:val="bottom"/>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8B43F6">
              <w:rPr>
                <w:rFonts w:cstheme="minorHAnsi"/>
                <w:color w:val="auto"/>
                <w:sz w:val="18"/>
                <w:szCs w:val="18"/>
              </w:rPr>
              <w:t>1,472</w:t>
            </w:r>
          </w:p>
        </w:tc>
        <w:tc>
          <w:tcPr>
            <w:tcW w:w="726" w:type="dxa"/>
            <w:gridSpan w:val="2"/>
            <w:shd w:val="clear" w:color="auto" w:fill="FFFFFF" w:themeFill="background1"/>
            <w:vAlign w:val="bottom"/>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8B43F6">
              <w:rPr>
                <w:rFonts w:cstheme="minorHAnsi"/>
                <w:color w:val="auto"/>
                <w:sz w:val="18"/>
                <w:szCs w:val="18"/>
              </w:rPr>
              <w:t>1,582</w:t>
            </w:r>
          </w:p>
        </w:tc>
        <w:tc>
          <w:tcPr>
            <w:tcW w:w="725" w:type="dxa"/>
            <w:shd w:val="clear" w:color="auto" w:fill="FFFFFF" w:themeFill="background1"/>
            <w:vAlign w:val="bottom"/>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8B43F6">
              <w:rPr>
                <w:rFonts w:cstheme="minorHAnsi"/>
                <w:color w:val="auto"/>
                <w:sz w:val="18"/>
                <w:szCs w:val="18"/>
              </w:rPr>
              <w:t>1,645</w:t>
            </w:r>
          </w:p>
        </w:tc>
        <w:tc>
          <w:tcPr>
            <w:tcW w:w="726" w:type="dxa"/>
            <w:gridSpan w:val="2"/>
            <w:shd w:val="clear" w:color="auto" w:fill="FFFFFF" w:themeFill="background1"/>
            <w:vAlign w:val="bottom"/>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8B43F6">
              <w:rPr>
                <w:rFonts w:cstheme="minorHAnsi"/>
                <w:color w:val="auto"/>
                <w:sz w:val="18"/>
                <w:szCs w:val="18"/>
              </w:rPr>
              <w:t>1,777</w:t>
            </w:r>
          </w:p>
        </w:tc>
        <w:tc>
          <w:tcPr>
            <w:tcW w:w="725" w:type="dxa"/>
            <w:shd w:val="clear" w:color="auto" w:fill="FFFFFF" w:themeFill="background1"/>
            <w:vAlign w:val="bottom"/>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8B43F6">
              <w:rPr>
                <w:rFonts w:cstheme="minorHAnsi"/>
                <w:color w:val="auto"/>
                <w:sz w:val="18"/>
                <w:szCs w:val="18"/>
              </w:rPr>
              <w:t>1,942</w:t>
            </w:r>
          </w:p>
        </w:tc>
        <w:tc>
          <w:tcPr>
            <w:tcW w:w="726" w:type="dxa"/>
            <w:gridSpan w:val="2"/>
            <w:shd w:val="clear" w:color="auto" w:fill="FFFFFF" w:themeFill="background1"/>
            <w:vAlign w:val="bottom"/>
          </w:tcPr>
          <w:p w:rsidR="00772765" w:rsidRPr="008B43F6" w:rsidRDefault="00772765" w:rsidP="00C1262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8B43F6">
              <w:rPr>
                <w:rFonts w:cstheme="minorHAnsi"/>
                <w:color w:val="auto"/>
                <w:sz w:val="18"/>
                <w:szCs w:val="18"/>
              </w:rPr>
              <w:t>2,075</w:t>
            </w:r>
          </w:p>
        </w:tc>
      </w:tr>
      <w:tr w:rsidR="00165CC7" w:rsidRPr="008B43F6" w:rsidTr="00BF0BE8">
        <w:trPr>
          <w:cnfStyle w:val="000000100000" w:firstRow="0" w:lastRow="0" w:firstColumn="0" w:lastColumn="0" w:oddVBand="0" w:evenVBand="0" w:oddHBand="1" w:evenHBand="0" w:firstRowFirstColumn="0" w:firstRowLastColumn="0" w:lastRowFirstColumn="0" w:lastRowLastColumn="0"/>
          <w:trHeight w:val="42"/>
          <w:jc w:val="center"/>
        </w:trPr>
        <w:tc>
          <w:tcPr>
            <w:cnfStyle w:val="001000000000" w:firstRow="0" w:lastRow="0" w:firstColumn="1" w:lastColumn="0" w:oddVBand="0" w:evenVBand="0" w:oddHBand="0" w:evenHBand="0" w:firstRowFirstColumn="0" w:firstRowLastColumn="0" w:lastRowFirstColumn="0" w:lastRowLastColumn="0"/>
            <w:tcW w:w="1102" w:type="dxa"/>
            <w:tcBorders>
              <w:left w:val="none" w:sz="0" w:space="0" w:color="auto"/>
              <w:right w:val="none" w:sz="0" w:space="0" w:color="auto"/>
            </w:tcBorders>
            <w:shd w:val="clear" w:color="auto" w:fill="FFFFFF" w:themeFill="background1"/>
          </w:tcPr>
          <w:p w:rsidR="00772765" w:rsidRPr="008B43F6" w:rsidRDefault="00772765" w:rsidP="00C12621">
            <w:pPr>
              <w:spacing w:line="276" w:lineRule="auto"/>
              <w:jc w:val="both"/>
              <w:rPr>
                <w:rFonts w:eastAsia="Times New Roman" w:cs="Times New Roman"/>
                <w:color w:val="auto"/>
                <w:sz w:val="18"/>
                <w:szCs w:val="18"/>
                <w:lang w:eastAsia="es-MX"/>
              </w:rPr>
            </w:pPr>
            <w:r w:rsidRPr="008B43F6">
              <w:rPr>
                <w:rFonts w:eastAsia="Times New Roman" w:cs="Times New Roman"/>
                <w:color w:val="auto"/>
                <w:sz w:val="18"/>
                <w:szCs w:val="18"/>
                <w:lang w:eastAsia="es-MX"/>
              </w:rPr>
              <w:t>1F</w:t>
            </w:r>
          </w:p>
        </w:tc>
        <w:tc>
          <w:tcPr>
            <w:tcW w:w="725" w:type="dxa"/>
            <w:tcBorders>
              <w:left w:val="none" w:sz="0" w:space="0" w:color="auto"/>
              <w:right w:val="none" w:sz="0" w:space="0" w:color="auto"/>
            </w:tcBorders>
            <w:shd w:val="clear" w:color="auto" w:fill="FFFFFF" w:themeFill="background1"/>
          </w:tcPr>
          <w:p w:rsidR="00772765" w:rsidRPr="008B43F6" w:rsidRDefault="00772765"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8B43F6">
              <w:rPr>
                <w:rFonts w:cstheme="minorHAnsi"/>
                <w:color w:val="auto"/>
                <w:sz w:val="18"/>
                <w:szCs w:val="18"/>
              </w:rPr>
              <w:t>1,597</w:t>
            </w:r>
          </w:p>
        </w:tc>
        <w:tc>
          <w:tcPr>
            <w:tcW w:w="726" w:type="dxa"/>
            <w:gridSpan w:val="2"/>
            <w:tcBorders>
              <w:left w:val="none" w:sz="0" w:space="0" w:color="auto"/>
              <w:right w:val="none" w:sz="0" w:space="0" w:color="auto"/>
            </w:tcBorders>
            <w:shd w:val="clear" w:color="auto" w:fill="FFFFFF" w:themeFill="background1"/>
          </w:tcPr>
          <w:p w:rsidR="00772765" w:rsidRPr="008B43F6" w:rsidRDefault="00772765"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8B43F6">
              <w:rPr>
                <w:rFonts w:cstheme="minorHAnsi"/>
                <w:color w:val="auto"/>
                <w:sz w:val="18"/>
                <w:szCs w:val="18"/>
              </w:rPr>
              <w:t>1,729</w:t>
            </w:r>
          </w:p>
        </w:tc>
        <w:tc>
          <w:tcPr>
            <w:tcW w:w="725" w:type="dxa"/>
            <w:tcBorders>
              <w:left w:val="none" w:sz="0" w:space="0" w:color="auto"/>
              <w:right w:val="none" w:sz="0" w:space="0" w:color="auto"/>
            </w:tcBorders>
            <w:shd w:val="clear" w:color="auto" w:fill="FFFFFF" w:themeFill="background1"/>
            <w:vAlign w:val="bottom"/>
          </w:tcPr>
          <w:p w:rsidR="00772765" w:rsidRPr="008B43F6" w:rsidRDefault="00772765"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8B43F6">
              <w:rPr>
                <w:rFonts w:cstheme="minorHAnsi"/>
                <w:color w:val="auto"/>
                <w:sz w:val="18"/>
                <w:szCs w:val="18"/>
              </w:rPr>
              <w:t>1,885</w:t>
            </w:r>
          </w:p>
        </w:tc>
        <w:tc>
          <w:tcPr>
            <w:tcW w:w="726" w:type="dxa"/>
            <w:gridSpan w:val="2"/>
            <w:tcBorders>
              <w:left w:val="none" w:sz="0" w:space="0" w:color="auto"/>
              <w:right w:val="none" w:sz="0" w:space="0" w:color="auto"/>
            </w:tcBorders>
            <w:shd w:val="clear" w:color="auto" w:fill="FFFFFF" w:themeFill="background1"/>
            <w:vAlign w:val="bottom"/>
          </w:tcPr>
          <w:p w:rsidR="00772765" w:rsidRPr="008B43F6" w:rsidRDefault="00772765"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8B43F6">
              <w:rPr>
                <w:rFonts w:cstheme="minorHAnsi"/>
                <w:color w:val="auto"/>
                <w:sz w:val="18"/>
                <w:szCs w:val="18"/>
              </w:rPr>
              <w:t>2,039</w:t>
            </w:r>
          </w:p>
        </w:tc>
        <w:tc>
          <w:tcPr>
            <w:tcW w:w="725" w:type="dxa"/>
            <w:tcBorders>
              <w:left w:val="none" w:sz="0" w:space="0" w:color="auto"/>
              <w:right w:val="none" w:sz="0" w:space="0" w:color="auto"/>
            </w:tcBorders>
            <w:shd w:val="clear" w:color="auto" w:fill="FFFFFF" w:themeFill="background1"/>
            <w:vAlign w:val="bottom"/>
          </w:tcPr>
          <w:p w:rsidR="00772765" w:rsidRPr="008B43F6" w:rsidRDefault="00772765"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8B43F6">
              <w:rPr>
                <w:rFonts w:cstheme="minorHAnsi"/>
                <w:color w:val="auto"/>
                <w:sz w:val="18"/>
                <w:szCs w:val="18"/>
              </w:rPr>
              <w:t>2,224</w:t>
            </w:r>
          </w:p>
        </w:tc>
        <w:tc>
          <w:tcPr>
            <w:tcW w:w="726" w:type="dxa"/>
            <w:gridSpan w:val="2"/>
            <w:tcBorders>
              <w:left w:val="none" w:sz="0" w:space="0" w:color="auto"/>
              <w:right w:val="none" w:sz="0" w:space="0" w:color="auto"/>
            </w:tcBorders>
            <w:shd w:val="clear" w:color="auto" w:fill="FFFFFF" w:themeFill="background1"/>
            <w:vAlign w:val="bottom"/>
          </w:tcPr>
          <w:p w:rsidR="00772765" w:rsidRPr="008B43F6" w:rsidRDefault="00772765"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8B43F6">
              <w:rPr>
                <w:rFonts w:cstheme="minorHAnsi"/>
                <w:color w:val="auto"/>
                <w:sz w:val="18"/>
                <w:szCs w:val="18"/>
              </w:rPr>
              <w:t>2,400</w:t>
            </w:r>
          </w:p>
        </w:tc>
        <w:tc>
          <w:tcPr>
            <w:tcW w:w="725" w:type="dxa"/>
            <w:tcBorders>
              <w:left w:val="none" w:sz="0" w:space="0" w:color="auto"/>
              <w:right w:val="none" w:sz="0" w:space="0" w:color="auto"/>
            </w:tcBorders>
            <w:shd w:val="clear" w:color="auto" w:fill="FFFFFF" w:themeFill="background1"/>
            <w:vAlign w:val="bottom"/>
          </w:tcPr>
          <w:p w:rsidR="00772765" w:rsidRPr="008B43F6" w:rsidRDefault="00772765"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8B43F6">
              <w:rPr>
                <w:rFonts w:cstheme="minorHAnsi"/>
                <w:color w:val="auto"/>
                <w:sz w:val="18"/>
                <w:szCs w:val="18"/>
              </w:rPr>
              <w:t>2,626</w:t>
            </w:r>
          </w:p>
        </w:tc>
        <w:tc>
          <w:tcPr>
            <w:tcW w:w="726" w:type="dxa"/>
            <w:gridSpan w:val="2"/>
            <w:tcBorders>
              <w:left w:val="none" w:sz="0" w:space="0" w:color="auto"/>
              <w:right w:val="none" w:sz="0" w:space="0" w:color="auto"/>
            </w:tcBorders>
            <w:shd w:val="clear" w:color="auto" w:fill="FFFFFF" w:themeFill="background1"/>
            <w:vAlign w:val="bottom"/>
          </w:tcPr>
          <w:p w:rsidR="00772765" w:rsidRPr="008B43F6" w:rsidRDefault="00772765"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sz w:val="18"/>
                <w:szCs w:val="18"/>
              </w:rPr>
            </w:pPr>
            <w:r w:rsidRPr="008B43F6">
              <w:rPr>
                <w:rFonts w:cstheme="minorHAnsi"/>
                <w:color w:val="auto"/>
                <w:sz w:val="18"/>
                <w:szCs w:val="18"/>
              </w:rPr>
              <w:t>2,803</w:t>
            </w:r>
          </w:p>
        </w:tc>
      </w:tr>
    </w:tbl>
    <w:p w:rsidR="00046D15" w:rsidRPr="008B43F6" w:rsidRDefault="00046D15" w:rsidP="00C12621">
      <w:pPr>
        <w:pStyle w:val="Prrafodelista"/>
        <w:ind w:left="1065"/>
        <w:jc w:val="both"/>
        <w:rPr>
          <w:b/>
        </w:rPr>
      </w:pPr>
    </w:p>
    <w:p w:rsidR="00634C80" w:rsidRPr="008B43F6" w:rsidRDefault="00634C80" w:rsidP="00C12621">
      <w:pPr>
        <w:jc w:val="both"/>
        <w:rPr>
          <w:color w:val="1F497D" w:themeColor="text2"/>
        </w:rPr>
      </w:pPr>
    </w:p>
    <w:p w:rsidR="003E5649" w:rsidRPr="008B43F6" w:rsidRDefault="00027D3B" w:rsidP="00C12621">
      <w:pPr>
        <w:pStyle w:val="Ttulo2"/>
        <w:jc w:val="both"/>
        <w:rPr>
          <w:rFonts w:asciiTheme="minorHAnsi" w:hAnsiTheme="minorHAnsi"/>
        </w:rPr>
      </w:pPr>
      <w:bookmarkStart w:id="86" w:name="_Toc350874989"/>
      <w:bookmarkStart w:id="87" w:name="_Toc351397601"/>
      <w:r w:rsidRPr="008B43F6">
        <w:rPr>
          <w:rFonts w:asciiTheme="minorHAnsi" w:hAnsiTheme="minorHAnsi"/>
        </w:rPr>
        <w:t xml:space="preserve">6.2 </w:t>
      </w:r>
      <w:r w:rsidR="003E5649" w:rsidRPr="008B43F6">
        <w:rPr>
          <w:rFonts w:asciiTheme="minorHAnsi" w:hAnsiTheme="minorHAnsi"/>
        </w:rPr>
        <w:t>Impactos a nivel nacional</w:t>
      </w:r>
      <w:bookmarkEnd w:id="86"/>
      <w:bookmarkEnd w:id="87"/>
    </w:p>
    <w:p w:rsidR="003E5649" w:rsidRPr="008B43F6" w:rsidRDefault="003E5649" w:rsidP="00C12621">
      <w:pPr>
        <w:jc w:val="both"/>
      </w:pPr>
      <w:r w:rsidRPr="008B43F6">
        <w:t xml:space="preserve">A nivel nacional, los </w:t>
      </w:r>
      <w:r w:rsidR="00817EA0" w:rsidRPr="008B43F6">
        <w:t>e</w:t>
      </w:r>
      <w:r w:rsidR="00BF0BE8" w:rsidRPr="008B43F6">
        <w:t>scenario</w:t>
      </w:r>
      <w:r w:rsidRPr="008B43F6">
        <w:t xml:space="preserve">s planteados resultarían en los siguientes impactos (Tabla </w:t>
      </w:r>
      <w:r w:rsidR="00E75797" w:rsidRPr="008B43F6">
        <w:t>6.4</w:t>
      </w:r>
      <w:r w:rsidRPr="008B43F6">
        <w:t>):</w:t>
      </w:r>
    </w:p>
    <w:p w:rsidR="003E5649" w:rsidRPr="008B43F6" w:rsidRDefault="003E5649" w:rsidP="00C12621">
      <w:pPr>
        <w:pStyle w:val="Prrafodelista"/>
        <w:numPr>
          <w:ilvl w:val="0"/>
          <w:numId w:val="10"/>
        </w:numPr>
        <w:jc w:val="both"/>
      </w:pPr>
      <w:r w:rsidRPr="008B43F6">
        <w:t>Ahorros en electricidad</w:t>
      </w:r>
      <w:r w:rsidR="008D4FE2" w:rsidRPr="008B43F6">
        <w:t xml:space="preserve"> por año, desde 567 GWh </w:t>
      </w:r>
      <w:r w:rsidRPr="008B43F6">
        <w:t xml:space="preserve">para </w:t>
      </w:r>
      <w:r w:rsidR="00027D3B" w:rsidRPr="008B43F6">
        <w:t xml:space="preserve">el </w:t>
      </w:r>
      <w:r w:rsidR="00BF0BE8" w:rsidRPr="008B43F6">
        <w:t>Escenario</w:t>
      </w:r>
      <w:r w:rsidR="00027D3B" w:rsidRPr="008B43F6">
        <w:t xml:space="preserve"> 1</w:t>
      </w:r>
      <w:r w:rsidR="008D4FE2" w:rsidRPr="008B43F6">
        <w:t xml:space="preserve"> hasta  casi 1,700 GWh  en </w:t>
      </w:r>
      <w:r w:rsidR="00027D3B" w:rsidRPr="008B43F6">
        <w:t xml:space="preserve">el </w:t>
      </w:r>
      <w:r w:rsidR="00BF0BE8" w:rsidRPr="008B43F6">
        <w:t>Escenario</w:t>
      </w:r>
      <w:r w:rsidR="00027D3B" w:rsidRPr="008B43F6">
        <w:t xml:space="preserve"> 3.</w:t>
      </w:r>
    </w:p>
    <w:p w:rsidR="008D4FE2" w:rsidRPr="008B43F6" w:rsidRDefault="008D4FE2" w:rsidP="00C12621">
      <w:pPr>
        <w:pStyle w:val="Prrafodelista"/>
        <w:numPr>
          <w:ilvl w:val="0"/>
          <w:numId w:val="10"/>
        </w:numPr>
        <w:jc w:val="both"/>
      </w:pPr>
      <w:r w:rsidRPr="008B43F6">
        <w:t xml:space="preserve">Ahorros anuales en gas que van desde 4.5 PJ por año en el </w:t>
      </w:r>
      <w:r w:rsidR="00BF0BE8" w:rsidRPr="008B43F6">
        <w:t>Escenario</w:t>
      </w:r>
      <w:r w:rsidRPr="008B43F6">
        <w:t xml:space="preserve"> 1 ha</w:t>
      </w:r>
      <w:r w:rsidR="00772765" w:rsidRPr="008B43F6">
        <w:t xml:space="preserve">sta casi 14 PJ en el </w:t>
      </w:r>
      <w:r w:rsidR="00BF0BE8" w:rsidRPr="008B43F6">
        <w:t>Escenario</w:t>
      </w:r>
      <w:r w:rsidR="00772765" w:rsidRPr="008B43F6">
        <w:t xml:space="preserve"> 3</w:t>
      </w:r>
      <w:r w:rsidRPr="008B43F6">
        <w:t>.</w:t>
      </w:r>
    </w:p>
    <w:p w:rsidR="008D4FE2" w:rsidRPr="008B43F6" w:rsidRDefault="008D4FE2" w:rsidP="00C12621">
      <w:pPr>
        <w:pStyle w:val="Prrafodelista"/>
        <w:numPr>
          <w:ilvl w:val="0"/>
          <w:numId w:val="10"/>
        </w:numPr>
        <w:jc w:val="both"/>
      </w:pPr>
      <w:r w:rsidRPr="008B43F6">
        <w:t xml:space="preserve">Ahorros promedios monetarios agregados en los hogares por año desde 1,638 millones de pesos por año, para </w:t>
      </w:r>
      <w:r w:rsidR="00C90783" w:rsidRPr="008B43F6">
        <w:t>el</w:t>
      </w:r>
      <w:r w:rsidRPr="008B43F6">
        <w:t xml:space="preserve"> </w:t>
      </w:r>
      <w:r w:rsidR="00BF0BE8" w:rsidRPr="008B43F6">
        <w:t>Escenario</w:t>
      </w:r>
      <w:r w:rsidRPr="008B43F6">
        <w:t xml:space="preserve"> </w:t>
      </w:r>
      <w:r w:rsidR="00C90783" w:rsidRPr="008B43F6">
        <w:t>1</w:t>
      </w:r>
      <w:r w:rsidRPr="008B43F6">
        <w:t xml:space="preserve"> hasta casi 5,000 millones de pesos en </w:t>
      </w:r>
      <w:r w:rsidR="00C90783" w:rsidRPr="008B43F6">
        <w:t>el</w:t>
      </w:r>
      <w:r w:rsidRPr="008B43F6">
        <w:t xml:space="preserve"> </w:t>
      </w:r>
      <w:r w:rsidR="00BF0BE8" w:rsidRPr="008B43F6">
        <w:t>Escenario</w:t>
      </w:r>
      <w:r w:rsidRPr="008B43F6">
        <w:t xml:space="preserve"> </w:t>
      </w:r>
      <w:r w:rsidR="00C90783" w:rsidRPr="008B43F6">
        <w:t>3.</w:t>
      </w:r>
    </w:p>
    <w:p w:rsidR="008D4FE2" w:rsidRPr="008B43F6" w:rsidRDefault="008D4FE2" w:rsidP="00C12621">
      <w:pPr>
        <w:spacing w:after="0"/>
        <w:ind w:left="705"/>
        <w:jc w:val="both"/>
        <w:rPr>
          <w:b/>
          <w:sz w:val="18"/>
          <w:szCs w:val="18"/>
        </w:rPr>
      </w:pPr>
      <w:r w:rsidRPr="008B43F6">
        <w:rPr>
          <w:b/>
          <w:sz w:val="18"/>
          <w:szCs w:val="18"/>
        </w:rPr>
        <w:t xml:space="preserve">Tabla </w:t>
      </w:r>
      <w:r w:rsidR="00165CC7" w:rsidRPr="008B43F6">
        <w:rPr>
          <w:b/>
          <w:sz w:val="18"/>
          <w:szCs w:val="18"/>
        </w:rPr>
        <w:t>6.4</w:t>
      </w:r>
      <w:r w:rsidRPr="008B43F6">
        <w:rPr>
          <w:b/>
          <w:sz w:val="18"/>
          <w:szCs w:val="18"/>
        </w:rPr>
        <w:t xml:space="preserve"> </w:t>
      </w:r>
      <w:r w:rsidRPr="008B43F6">
        <w:rPr>
          <w:sz w:val="18"/>
          <w:szCs w:val="18"/>
        </w:rPr>
        <w:t>Ahorros energéticos y monetarios</w:t>
      </w:r>
      <w:r w:rsidR="00CE1614" w:rsidRPr="008B43F6">
        <w:rPr>
          <w:sz w:val="18"/>
          <w:szCs w:val="18"/>
        </w:rPr>
        <w:t xml:space="preserve"> a nivel Nacional,</w:t>
      </w:r>
      <w:r w:rsidRPr="008B43F6">
        <w:rPr>
          <w:sz w:val="18"/>
          <w:szCs w:val="18"/>
        </w:rPr>
        <w:t xml:space="preserve"> por la implementación de un programa de vivienda eficiente </w:t>
      </w:r>
      <w:r w:rsidR="00CE1614" w:rsidRPr="008B43F6">
        <w:rPr>
          <w:sz w:val="18"/>
          <w:szCs w:val="18"/>
        </w:rPr>
        <w:t>en los hogares de México</w:t>
      </w:r>
    </w:p>
    <w:tbl>
      <w:tblPr>
        <w:tblStyle w:val="Sombreadomedio1-nfasis1"/>
        <w:tblW w:w="378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2"/>
        <w:gridCol w:w="1087"/>
        <w:gridCol w:w="862"/>
        <w:gridCol w:w="1003"/>
      </w:tblGrid>
      <w:tr w:rsidR="00165CC7" w:rsidRPr="008B43F6" w:rsidTr="00BF0BE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27" w:type="dxa"/>
            <w:tcBorders>
              <w:top w:val="none" w:sz="0" w:space="0" w:color="auto"/>
              <w:left w:val="none" w:sz="0" w:space="0" w:color="auto"/>
              <w:bottom w:val="none" w:sz="0" w:space="0" w:color="auto"/>
              <w:right w:val="none" w:sz="0" w:space="0" w:color="auto"/>
            </w:tcBorders>
          </w:tcPr>
          <w:p w:rsidR="008D4FE2" w:rsidRPr="008B43F6" w:rsidRDefault="00BF0BE8" w:rsidP="00C12621">
            <w:pPr>
              <w:spacing w:line="276" w:lineRule="auto"/>
              <w:jc w:val="both"/>
              <w:rPr>
                <w:rFonts w:eastAsia="Times New Roman" w:cs="Times New Roman"/>
                <w:sz w:val="18"/>
                <w:szCs w:val="18"/>
                <w:lang w:eastAsia="es-MX"/>
              </w:rPr>
            </w:pPr>
            <w:r w:rsidRPr="008B43F6">
              <w:rPr>
                <w:rFonts w:eastAsia="Times New Roman" w:cs="Times New Roman"/>
                <w:sz w:val="18"/>
                <w:szCs w:val="18"/>
                <w:lang w:eastAsia="es-MX"/>
              </w:rPr>
              <w:t>Escenario</w:t>
            </w:r>
          </w:p>
        </w:tc>
        <w:tc>
          <w:tcPr>
            <w:tcW w:w="1110" w:type="dxa"/>
            <w:tcBorders>
              <w:top w:val="none" w:sz="0" w:space="0" w:color="auto"/>
              <w:left w:val="none" w:sz="0" w:space="0" w:color="auto"/>
              <w:bottom w:val="none" w:sz="0" w:space="0" w:color="auto"/>
              <w:right w:val="none" w:sz="0" w:space="0" w:color="auto"/>
            </w:tcBorders>
          </w:tcPr>
          <w:p w:rsidR="008D4FE2" w:rsidRPr="008B43F6" w:rsidRDefault="00CE1614" w:rsidP="00C12621">
            <w:pPr>
              <w:spacing w:line="276" w:lineRule="auto"/>
              <w:jc w:val="both"/>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8B43F6">
              <w:rPr>
                <w:rFonts w:eastAsia="Times New Roman" w:cs="Times New Roman"/>
                <w:sz w:val="18"/>
                <w:szCs w:val="18"/>
                <w:lang w:eastAsia="es-MX"/>
              </w:rPr>
              <w:t>Ahorro E</w:t>
            </w:r>
            <w:r w:rsidR="008D4FE2" w:rsidRPr="008B43F6">
              <w:rPr>
                <w:rFonts w:eastAsia="Times New Roman" w:cs="Times New Roman"/>
                <w:sz w:val="18"/>
                <w:szCs w:val="18"/>
                <w:lang w:eastAsia="es-MX"/>
              </w:rPr>
              <w:t xml:space="preserve">lectricidad (Gwh </w:t>
            </w:r>
            <w:r w:rsidR="00817EA0" w:rsidRPr="008B43F6">
              <w:rPr>
                <w:rFonts w:eastAsia="Times New Roman" w:cs="Times New Roman"/>
                <w:sz w:val="18"/>
                <w:szCs w:val="18"/>
                <w:lang w:eastAsia="es-MX"/>
              </w:rPr>
              <w:t>/año</w:t>
            </w:r>
            <w:r w:rsidR="008D4FE2" w:rsidRPr="008B43F6">
              <w:rPr>
                <w:rFonts w:eastAsia="Times New Roman" w:cs="Times New Roman"/>
                <w:sz w:val="18"/>
                <w:szCs w:val="18"/>
                <w:lang w:eastAsia="es-MX"/>
              </w:rPr>
              <w:t>)</w:t>
            </w:r>
          </w:p>
        </w:tc>
        <w:tc>
          <w:tcPr>
            <w:tcW w:w="726" w:type="dxa"/>
            <w:tcBorders>
              <w:top w:val="none" w:sz="0" w:space="0" w:color="auto"/>
              <w:left w:val="none" w:sz="0" w:space="0" w:color="auto"/>
              <w:bottom w:val="none" w:sz="0" w:space="0" w:color="auto"/>
              <w:right w:val="none" w:sz="0" w:space="0" w:color="auto"/>
            </w:tcBorders>
          </w:tcPr>
          <w:p w:rsidR="008D4FE2" w:rsidRPr="008B43F6" w:rsidRDefault="00CE1614" w:rsidP="00C12621">
            <w:pPr>
              <w:spacing w:line="276" w:lineRule="auto"/>
              <w:jc w:val="both"/>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8B43F6">
              <w:rPr>
                <w:rFonts w:eastAsia="Times New Roman" w:cs="Times New Roman"/>
                <w:sz w:val="18"/>
                <w:szCs w:val="18"/>
                <w:lang w:eastAsia="es-MX"/>
              </w:rPr>
              <w:t>Ahorro Gas (</w:t>
            </w:r>
            <w:r w:rsidR="00817EA0" w:rsidRPr="008B43F6">
              <w:rPr>
                <w:rFonts w:eastAsia="Times New Roman" w:cs="Times New Roman"/>
                <w:sz w:val="18"/>
                <w:szCs w:val="18"/>
                <w:lang w:eastAsia="es-MX"/>
              </w:rPr>
              <w:t>GJ/</w:t>
            </w:r>
            <w:r w:rsidR="008D4FE2" w:rsidRPr="008B43F6">
              <w:rPr>
                <w:rFonts w:eastAsia="Times New Roman" w:cs="Times New Roman"/>
                <w:sz w:val="18"/>
                <w:szCs w:val="18"/>
                <w:lang w:eastAsia="es-MX"/>
              </w:rPr>
              <w:t>año)</w:t>
            </w:r>
          </w:p>
        </w:tc>
        <w:tc>
          <w:tcPr>
            <w:tcW w:w="726" w:type="dxa"/>
            <w:tcBorders>
              <w:top w:val="none" w:sz="0" w:space="0" w:color="auto"/>
              <w:left w:val="none" w:sz="0" w:space="0" w:color="auto"/>
              <w:bottom w:val="none" w:sz="0" w:space="0" w:color="auto"/>
              <w:right w:val="none" w:sz="0" w:space="0" w:color="auto"/>
            </w:tcBorders>
          </w:tcPr>
          <w:p w:rsidR="008D4FE2" w:rsidRPr="008B43F6" w:rsidRDefault="00CE1614" w:rsidP="00C12621">
            <w:pPr>
              <w:spacing w:line="276" w:lineRule="auto"/>
              <w:jc w:val="both"/>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8B43F6">
              <w:rPr>
                <w:rFonts w:eastAsia="Times New Roman" w:cs="Times New Roman"/>
                <w:sz w:val="18"/>
                <w:szCs w:val="18"/>
                <w:lang w:eastAsia="es-MX"/>
              </w:rPr>
              <w:t>Ahorro</w:t>
            </w:r>
            <w:r w:rsidR="008D4FE2" w:rsidRPr="008B43F6">
              <w:rPr>
                <w:rFonts w:eastAsia="Times New Roman" w:cs="Times New Roman"/>
                <w:sz w:val="18"/>
                <w:szCs w:val="18"/>
                <w:lang w:eastAsia="es-MX"/>
              </w:rPr>
              <w:t xml:space="preserve"> </w:t>
            </w:r>
            <w:r w:rsidRPr="008B43F6">
              <w:rPr>
                <w:rFonts w:eastAsia="Times New Roman" w:cs="Times New Roman"/>
                <w:sz w:val="18"/>
                <w:szCs w:val="18"/>
                <w:lang w:eastAsia="es-MX"/>
              </w:rPr>
              <w:t>monetario</w:t>
            </w:r>
            <w:r w:rsidR="008D4FE2" w:rsidRPr="008B43F6">
              <w:rPr>
                <w:rFonts w:eastAsia="Times New Roman" w:cs="Times New Roman"/>
                <w:sz w:val="18"/>
                <w:szCs w:val="18"/>
                <w:lang w:eastAsia="es-MX"/>
              </w:rPr>
              <w:t xml:space="preserve"> </w:t>
            </w:r>
          </w:p>
          <w:p w:rsidR="008D4FE2" w:rsidRPr="008B43F6" w:rsidRDefault="008D4FE2" w:rsidP="00C12621">
            <w:pPr>
              <w:spacing w:line="276" w:lineRule="auto"/>
              <w:jc w:val="both"/>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8B43F6">
              <w:rPr>
                <w:rFonts w:eastAsia="Times New Roman" w:cs="Times New Roman"/>
                <w:sz w:val="18"/>
                <w:szCs w:val="18"/>
                <w:lang w:eastAsia="es-MX"/>
              </w:rPr>
              <w:t>($ Millones)</w:t>
            </w:r>
          </w:p>
        </w:tc>
      </w:tr>
      <w:tr w:rsidR="00165CC7" w:rsidRPr="008B43F6" w:rsidTr="00BF0BE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27" w:type="dxa"/>
            <w:tcBorders>
              <w:right w:val="none" w:sz="0" w:space="0" w:color="auto"/>
            </w:tcBorders>
            <w:shd w:val="clear" w:color="auto" w:fill="FFFFFF" w:themeFill="background1"/>
          </w:tcPr>
          <w:p w:rsidR="008D4FE2" w:rsidRPr="008B43F6" w:rsidRDefault="008D4FE2" w:rsidP="00C12621">
            <w:pPr>
              <w:spacing w:line="276" w:lineRule="auto"/>
              <w:ind w:left="371"/>
              <w:jc w:val="both"/>
              <w:rPr>
                <w:rFonts w:eastAsia="Times New Roman" w:cs="Times New Roman"/>
                <w:sz w:val="18"/>
                <w:szCs w:val="18"/>
                <w:lang w:eastAsia="es-MX"/>
              </w:rPr>
            </w:pPr>
            <w:r w:rsidRPr="008B43F6">
              <w:rPr>
                <w:rFonts w:eastAsia="Times New Roman" w:cs="Times New Roman"/>
                <w:sz w:val="18"/>
                <w:szCs w:val="18"/>
                <w:lang w:eastAsia="es-MX"/>
              </w:rPr>
              <w:t>1</w:t>
            </w:r>
          </w:p>
        </w:tc>
        <w:tc>
          <w:tcPr>
            <w:tcW w:w="1110" w:type="dxa"/>
            <w:tcBorders>
              <w:left w:val="none" w:sz="0" w:space="0" w:color="auto"/>
              <w:right w:val="none" w:sz="0" w:space="0" w:color="auto"/>
            </w:tcBorders>
            <w:shd w:val="clear" w:color="auto" w:fill="FFFFFF" w:themeFill="background1"/>
          </w:tcPr>
          <w:p w:rsidR="008D4FE2" w:rsidRPr="008B43F6" w:rsidRDefault="00CE161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8B43F6">
              <w:rPr>
                <w:rFonts w:eastAsia="Times New Roman" w:cs="Times New Roman"/>
                <w:sz w:val="18"/>
                <w:szCs w:val="18"/>
                <w:lang w:eastAsia="es-MX"/>
              </w:rPr>
              <w:t>567</w:t>
            </w:r>
          </w:p>
        </w:tc>
        <w:tc>
          <w:tcPr>
            <w:tcW w:w="726" w:type="dxa"/>
            <w:tcBorders>
              <w:left w:val="none" w:sz="0" w:space="0" w:color="auto"/>
              <w:right w:val="none" w:sz="0" w:space="0" w:color="auto"/>
            </w:tcBorders>
            <w:shd w:val="clear" w:color="auto" w:fill="FFFFFF" w:themeFill="background1"/>
          </w:tcPr>
          <w:p w:rsidR="008D4FE2" w:rsidRPr="008B43F6" w:rsidRDefault="00CE161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8B43F6">
              <w:rPr>
                <w:rFonts w:eastAsia="Times New Roman" w:cs="Times New Roman"/>
                <w:sz w:val="18"/>
                <w:szCs w:val="18"/>
                <w:lang w:eastAsia="es-MX"/>
              </w:rPr>
              <w:t>4.5</w:t>
            </w:r>
          </w:p>
        </w:tc>
        <w:tc>
          <w:tcPr>
            <w:tcW w:w="726" w:type="dxa"/>
            <w:tcBorders>
              <w:left w:val="none" w:sz="0" w:space="0" w:color="auto"/>
            </w:tcBorders>
            <w:shd w:val="clear" w:color="auto" w:fill="FFFFFF" w:themeFill="background1"/>
          </w:tcPr>
          <w:p w:rsidR="008D4FE2" w:rsidRPr="008B43F6" w:rsidRDefault="00CE161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8B43F6">
              <w:rPr>
                <w:rFonts w:eastAsia="Times New Roman" w:cs="Times New Roman"/>
                <w:sz w:val="18"/>
                <w:szCs w:val="18"/>
                <w:lang w:eastAsia="es-MX"/>
              </w:rPr>
              <w:t>1,638</w:t>
            </w:r>
          </w:p>
        </w:tc>
      </w:tr>
      <w:tr w:rsidR="00165CC7" w:rsidRPr="008B43F6" w:rsidTr="00BF0BE8">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27" w:type="dxa"/>
            <w:tcBorders>
              <w:right w:val="none" w:sz="0" w:space="0" w:color="auto"/>
            </w:tcBorders>
            <w:shd w:val="clear" w:color="auto" w:fill="FFFFFF" w:themeFill="background1"/>
          </w:tcPr>
          <w:p w:rsidR="008D4FE2" w:rsidRPr="008B43F6" w:rsidRDefault="008D4FE2" w:rsidP="00C12621">
            <w:pPr>
              <w:spacing w:line="276" w:lineRule="auto"/>
              <w:ind w:left="371"/>
              <w:jc w:val="both"/>
              <w:rPr>
                <w:rFonts w:eastAsia="Times New Roman" w:cs="Times New Roman"/>
                <w:sz w:val="18"/>
                <w:szCs w:val="18"/>
                <w:lang w:eastAsia="es-MX"/>
              </w:rPr>
            </w:pPr>
            <w:r w:rsidRPr="008B43F6">
              <w:rPr>
                <w:rFonts w:eastAsia="Times New Roman" w:cs="Times New Roman"/>
                <w:sz w:val="18"/>
                <w:szCs w:val="18"/>
                <w:lang w:eastAsia="es-MX"/>
              </w:rPr>
              <w:t>2</w:t>
            </w:r>
          </w:p>
        </w:tc>
        <w:tc>
          <w:tcPr>
            <w:tcW w:w="1110" w:type="dxa"/>
            <w:tcBorders>
              <w:left w:val="none" w:sz="0" w:space="0" w:color="auto"/>
              <w:right w:val="none" w:sz="0" w:space="0" w:color="auto"/>
            </w:tcBorders>
            <w:shd w:val="clear" w:color="auto" w:fill="FFFFFF" w:themeFill="background1"/>
          </w:tcPr>
          <w:p w:rsidR="008D4FE2" w:rsidRPr="008B43F6" w:rsidRDefault="00CE1614" w:rsidP="00C12621">
            <w:pPr>
              <w:spacing w:line="276" w:lineRule="auto"/>
              <w:jc w:val="both"/>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lang w:eastAsia="es-MX"/>
              </w:rPr>
            </w:pPr>
            <w:r w:rsidRPr="008B43F6">
              <w:rPr>
                <w:rFonts w:eastAsia="Times New Roman" w:cs="Times New Roman"/>
                <w:sz w:val="18"/>
                <w:szCs w:val="18"/>
                <w:lang w:eastAsia="es-MX"/>
              </w:rPr>
              <w:t>850</w:t>
            </w:r>
          </w:p>
        </w:tc>
        <w:tc>
          <w:tcPr>
            <w:tcW w:w="726" w:type="dxa"/>
            <w:tcBorders>
              <w:left w:val="none" w:sz="0" w:space="0" w:color="auto"/>
              <w:right w:val="none" w:sz="0" w:space="0" w:color="auto"/>
            </w:tcBorders>
            <w:shd w:val="clear" w:color="auto" w:fill="FFFFFF" w:themeFill="background1"/>
          </w:tcPr>
          <w:p w:rsidR="008D4FE2" w:rsidRPr="008B43F6" w:rsidRDefault="00CE1614" w:rsidP="00C12621">
            <w:pPr>
              <w:spacing w:line="276" w:lineRule="auto"/>
              <w:jc w:val="both"/>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lang w:eastAsia="es-MX"/>
              </w:rPr>
            </w:pPr>
            <w:r w:rsidRPr="008B43F6">
              <w:rPr>
                <w:rFonts w:eastAsia="Times New Roman" w:cs="Times New Roman"/>
                <w:sz w:val="18"/>
                <w:szCs w:val="18"/>
                <w:lang w:eastAsia="es-MX"/>
              </w:rPr>
              <w:t>6.8</w:t>
            </w:r>
          </w:p>
        </w:tc>
        <w:tc>
          <w:tcPr>
            <w:tcW w:w="726" w:type="dxa"/>
            <w:tcBorders>
              <w:left w:val="none" w:sz="0" w:space="0" w:color="auto"/>
            </w:tcBorders>
            <w:shd w:val="clear" w:color="auto" w:fill="FFFFFF" w:themeFill="background1"/>
          </w:tcPr>
          <w:p w:rsidR="008D4FE2" w:rsidRPr="008B43F6" w:rsidRDefault="00CE1614" w:rsidP="00C12621">
            <w:pPr>
              <w:spacing w:line="276" w:lineRule="auto"/>
              <w:jc w:val="both"/>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lang w:eastAsia="es-MX"/>
              </w:rPr>
            </w:pPr>
            <w:r w:rsidRPr="008B43F6">
              <w:rPr>
                <w:rFonts w:eastAsia="Times New Roman" w:cs="Times New Roman"/>
                <w:sz w:val="18"/>
                <w:szCs w:val="18"/>
                <w:lang w:eastAsia="es-MX"/>
              </w:rPr>
              <w:t>2,457</w:t>
            </w:r>
          </w:p>
        </w:tc>
      </w:tr>
      <w:tr w:rsidR="00165CC7" w:rsidRPr="008B43F6" w:rsidTr="00BF0BE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27" w:type="dxa"/>
            <w:tcBorders>
              <w:right w:val="none" w:sz="0" w:space="0" w:color="auto"/>
            </w:tcBorders>
            <w:shd w:val="clear" w:color="auto" w:fill="FFFFFF" w:themeFill="background1"/>
          </w:tcPr>
          <w:p w:rsidR="008D4FE2" w:rsidRPr="008B43F6" w:rsidRDefault="008D4FE2" w:rsidP="00C12621">
            <w:pPr>
              <w:spacing w:line="276" w:lineRule="auto"/>
              <w:ind w:left="371"/>
              <w:jc w:val="both"/>
              <w:rPr>
                <w:rFonts w:eastAsia="Times New Roman" w:cs="Times New Roman"/>
                <w:sz w:val="18"/>
                <w:szCs w:val="18"/>
                <w:lang w:eastAsia="es-MX"/>
              </w:rPr>
            </w:pPr>
            <w:r w:rsidRPr="008B43F6">
              <w:rPr>
                <w:rFonts w:eastAsia="Times New Roman" w:cs="Times New Roman"/>
                <w:sz w:val="18"/>
                <w:szCs w:val="18"/>
                <w:lang w:eastAsia="es-MX"/>
              </w:rPr>
              <w:t>3</w:t>
            </w:r>
          </w:p>
        </w:tc>
        <w:tc>
          <w:tcPr>
            <w:tcW w:w="1110" w:type="dxa"/>
            <w:tcBorders>
              <w:left w:val="none" w:sz="0" w:space="0" w:color="auto"/>
              <w:right w:val="none" w:sz="0" w:space="0" w:color="auto"/>
            </w:tcBorders>
            <w:shd w:val="clear" w:color="auto" w:fill="FFFFFF" w:themeFill="background1"/>
          </w:tcPr>
          <w:p w:rsidR="008D4FE2" w:rsidRPr="008B43F6" w:rsidRDefault="00CE161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8B43F6">
              <w:rPr>
                <w:rFonts w:eastAsia="Times New Roman" w:cs="Times New Roman"/>
                <w:sz w:val="18"/>
                <w:szCs w:val="18"/>
                <w:lang w:eastAsia="es-MX"/>
              </w:rPr>
              <w:t>1,699</w:t>
            </w:r>
          </w:p>
        </w:tc>
        <w:tc>
          <w:tcPr>
            <w:tcW w:w="726" w:type="dxa"/>
            <w:tcBorders>
              <w:left w:val="none" w:sz="0" w:space="0" w:color="auto"/>
              <w:right w:val="none" w:sz="0" w:space="0" w:color="auto"/>
            </w:tcBorders>
            <w:shd w:val="clear" w:color="auto" w:fill="FFFFFF" w:themeFill="background1"/>
          </w:tcPr>
          <w:p w:rsidR="008D4FE2" w:rsidRPr="008B43F6" w:rsidRDefault="00CE161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8B43F6">
              <w:rPr>
                <w:rFonts w:eastAsia="Times New Roman" w:cs="Times New Roman"/>
                <w:sz w:val="18"/>
                <w:szCs w:val="18"/>
                <w:lang w:eastAsia="es-MX"/>
              </w:rPr>
              <w:t>13.5</w:t>
            </w:r>
          </w:p>
        </w:tc>
        <w:tc>
          <w:tcPr>
            <w:tcW w:w="726" w:type="dxa"/>
            <w:tcBorders>
              <w:left w:val="none" w:sz="0" w:space="0" w:color="auto"/>
            </w:tcBorders>
            <w:shd w:val="clear" w:color="auto" w:fill="FFFFFF" w:themeFill="background1"/>
          </w:tcPr>
          <w:p w:rsidR="008D4FE2" w:rsidRPr="008B43F6" w:rsidRDefault="00CE161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8B43F6">
              <w:rPr>
                <w:rFonts w:eastAsia="Times New Roman" w:cs="Times New Roman"/>
                <w:sz w:val="18"/>
                <w:szCs w:val="18"/>
                <w:lang w:eastAsia="es-MX"/>
              </w:rPr>
              <w:t>4,914</w:t>
            </w:r>
          </w:p>
        </w:tc>
      </w:tr>
    </w:tbl>
    <w:p w:rsidR="008D4FE2" w:rsidRPr="008B43F6" w:rsidRDefault="008D4FE2" w:rsidP="00C12621">
      <w:pPr>
        <w:ind w:left="705"/>
        <w:jc w:val="both"/>
        <w:rPr>
          <w:b/>
        </w:rPr>
      </w:pPr>
    </w:p>
    <w:p w:rsidR="003E5649" w:rsidRPr="008B43F6" w:rsidRDefault="00CE1614" w:rsidP="00C12621">
      <w:pPr>
        <w:jc w:val="both"/>
      </w:pPr>
      <w:r w:rsidRPr="008B43F6">
        <w:t>Además de lo anterior, el Gobierno Federal ahorraría en subsidios de gas y electricidad, desde cas</w:t>
      </w:r>
      <w:r w:rsidR="00C90783" w:rsidRPr="008B43F6">
        <w:t>i 600 millones de pesos anuales</w:t>
      </w:r>
      <w:r w:rsidRPr="008B43F6">
        <w:t xml:space="preserve"> en </w:t>
      </w:r>
      <w:r w:rsidR="00C90783" w:rsidRPr="008B43F6">
        <w:t xml:space="preserve">el </w:t>
      </w:r>
      <w:r w:rsidR="00BF0BE8" w:rsidRPr="008B43F6">
        <w:t>Escenario</w:t>
      </w:r>
      <w:r w:rsidRPr="008B43F6">
        <w:t xml:space="preserve"> </w:t>
      </w:r>
      <w:r w:rsidR="00C90783" w:rsidRPr="008B43F6">
        <w:t xml:space="preserve">1 </w:t>
      </w:r>
      <w:r w:rsidRPr="008B43F6">
        <w:t xml:space="preserve">hasta  poco más de 1,000 millones de pesos por año en </w:t>
      </w:r>
      <w:r w:rsidR="00C90783" w:rsidRPr="008B43F6">
        <w:t>el Escenario 3</w:t>
      </w:r>
      <w:r w:rsidRPr="008B43F6">
        <w:t xml:space="preserve"> (Tabla </w:t>
      </w:r>
      <w:r w:rsidR="00E75797" w:rsidRPr="008B43F6">
        <w:t>6.5</w:t>
      </w:r>
      <w:r w:rsidRPr="008B43F6">
        <w:t>).</w:t>
      </w:r>
    </w:p>
    <w:p w:rsidR="00CE1614" w:rsidRPr="008B43F6" w:rsidRDefault="00CE1614" w:rsidP="00C12621">
      <w:pPr>
        <w:spacing w:after="0"/>
        <w:jc w:val="both"/>
        <w:rPr>
          <w:b/>
          <w:sz w:val="18"/>
          <w:szCs w:val="18"/>
        </w:rPr>
      </w:pPr>
      <w:r w:rsidRPr="008B43F6">
        <w:rPr>
          <w:b/>
          <w:sz w:val="18"/>
          <w:szCs w:val="18"/>
        </w:rPr>
        <w:t xml:space="preserve">Tabla </w:t>
      </w:r>
      <w:r w:rsidR="00165CC7" w:rsidRPr="008B43F6">
        <w:rPr>
          <w:b/>
          <w:sz w:val="18"/>
          <w:szCs w:val="18"/>
        </w:rPr>
        <w:t>6.5</w:t>
      </w:r>
      <w:r w:rsidRPr="008B43F6">
        <w:rPr>
          <w:b/>
          <w:sz w:val="18"/>
          <w:szCs w:val="18"/>
        </w:rPr>
        <w:t xml:space="preserve"> </w:t>
      </w:r>
      <w:r w:rsidRPr="008B43F6">
        <w:rPr>
          <w:sz w:val="18"/>
          <w:szCs w:val="18"/>
        </w:rPr>
        <w:t>Subsidios evitados por la aplicación de un programa de vivienda sustentable en México.</w:t>
      </w:r>
    </w:p>
    <w:tbl>
      <w:tblPr>
        <w:tblStyle w:val="Sombreadomedio1-nfasis1"/>
        <w:tblW w:w="611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28"/>
        <w:gridCol w:w="1628"/>
        <w:gridCol w:w="1628"/>
        <w:gridCol w:w="1628"/>
      </w:tblGrid>
      <w:tr w:rsidR="00611CBA" w:rsidRPr="008B43F6" w:rsidTr="00611CB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28" w:type="dxa"/>
            <w:vMerge w:val="restart"/>
            <w:tcBorders>
              <w:top w:val="none" w:sz="0" w:space="0" w:color="auto"/>
              <w:left w:val="none" w:sz="0" w:space="0" w:color="auto"/>
              <w:bottom w:val="none" w:sz="0" w:space="0" w:color="auto"/>
              <w:right w:val="none" w:sz="0" w:space="0" w:color="auto"/>
            </w:tcBorders>
          </w:tcPr>
          <w:p w:rsidR="00CE1614" w:rsidRPr="008B43F6" w:rsidRDefault="00BF0BE8" w:rsidP="00C12621">
            <w:pPr>
              <w:spacing w:line="276" w:lineRule="auto"/>
              <w:jc w:val="both"/>
              <w:rPr>
                <w:rFonts w:eastAsia="Times New Roman" w:cs="Times New Roman"/>
                <w:sz w:val="18"/>
                <w:szCs w:val="18"/>
                <w:lang w:eastAsia="es-MX"/>
              </w:rPr>
            </w:pPr>
            <w:r w:rsidRPr="008B43F6">
              <w:rPr>
                <w:rFonts w:eastAsia="Times New Roman" w:cs="Times New Roman"/>
                <w:sz w:val="18"/>
                <w:szCs w:val="18"/>
                <w:lang w:eastAsia="es-MX"/>
              </w:rPr>
              <w:t>Escenario</w:t>
            </w:r>
          </w:p>
        </w:tc>
        <w:tc>
          <w:tcPr>
            <w:tcW w:w="4884" w:type="dxa"/>
            <w:gridSpan w:val="3"/>
            <w:tcBorders>
              <w:top w:val="none" w:sz="0" w:space="0" w:color="auto"/>
              <w:left w:val="none" w:sz="0" w:space="0" w:color="auto"/>
              <w:bottom w:val="none" w:sz="0" w:space="0" w:color="auto"/>
              <w:right w:val="none" w:sz="0" w:space="0" w:color="auto"/>
            </w:tcBorders>
          </w:tcPr>
          <w:p w:rsidR="00CE1614" w:rsidRPr="008B43F6" w:rsidRDefault="00DC1C3C" w:rsidP="00C12621">
            <w:pPr>
              <w:spacing w:line="276" w:lineRule="auto"/>
              <w:jc w:val="both"/>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8B43F6">
              <w:rPr>
                <w:rFonts w:eastAsia="Times New Roman" w:cs="Times New Roman"/>
                <w:sz w:val="18"/>
                <w:szCs w:val="18"/>
                <w:lang w:eastAsia="es-MX"/>
              </w:rPr>
              <w:t>Subsidios</w:t>
            </w:r>
            <w:r w:rsidR="00CE1614" w:rsidRPr="008B43F6">
              <w:rPr>
                <w:rFonts w:eastAsia="Times New Roman" w:cs="Times New Roman"/>
                <w:sz w:val="18"/>
                <w:szCs w:val="18"/>
                <w:lang w:eastAsia="es-MX"/>
              </w:rPr>
              <w:t xml:space="preserve"> evitados por año (Millones de pesos)</w:t>
            </w:r>
          </w:p>
        </w:tc>
      </w:tr>
      <w:tr w:rsidR="00611CBA" w:rsidRPr="008B43F6" w:rsidTr="00611CB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28" w:type="dxa"/>
            <w:vMerge/>
            <w:tcBorders>
              <w:right w:val="none" w:sz="0" w:space="0" w:color="auto"/>
            </w:tcBorders>
            <w:shd w:val="clear" w:color="auto" w:fill="4F81BD" w:themeFill="accent1"/>
          </w:tcPr>
          <w:p w:rsidR="00CE1614" w:rsidRPr="008B43F6" w:rsidRDefault="00CE1614" w:rsidP="00C12621">
            <w:pPr>
              <w:spacing w:line="276" w:lineRule="auto"/>
              <w:jc w:val="both"/>
              <w:rPr>
                <w:rFonts w:eastAsia="Times New Roman" w:cs="Times New Roman"/>
                <w:b w:val="0"/>
                <w:color w:val="FFFFFF" w:themeColor="background1"/>
                <w:sz w:val="18"/>
                <w:szCs w:val="18"/>
                <w:lang w:eastAsia="es-MX"/>
              </w:rPr>
            </w:pPr>
          </w:p>
        </w:tc>
        <w:tc>
          <w:tcPr>
            <w:tcW w:w="1628" w:type="dxa"/>
            <w:tcBorders>
              <w:left w:val="none" w:sz="0" w:space="0" w:color="auto"/>
              <w:right w:val="none" w:sz="0" w:space="0" w:color="auto"/>
            </w:tcBorders>
            <w:shd w:val="clear" w:color="auto" w:fill="4F81BD" w:themeFill="accent1"/>
          </w:tcPr>
          <w:p w:rsidR="00CE1614" w:rsidRPr="008B43F6" w:rsidRDefault="00CE161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color w:val="FFFFFF" w:themeColor="background1"/>
                <w:sz w:val="18"/>
                <w:szCs w:val="18"/>
                <w:lang w:eastAsia="es-MX"/>
              </w:rPr>
            </w:pPr>
            <w:r w:rsidRPr="008B43F6">
              <w:rPr>
                <w:rFonts w:eastAsia="Times New Roman" w:cs="Times New Roman"/>
                <w:b/>
                <w:color w:val="FFFFFF" w:themeColor="background1"/>
                <w:sz w:val="18"/>
                <w:szCs w:val="18"/>
                <w:lang w:eastAsia="es-MX"/>
              </w:rPr>
              <w:t xml:space="preserve">En electricidad </w:t>
            </w:r>
          </w:p>
        </w:tc>
        <w:tc>
          <w:tcPr>
            <w:tcW w:w="1628" w:type="dxa"/>
            <w:tcBorders>
              <w:left w:val="none" w:sz="0" w:space="0" w:color="auto"/>
              <w:right w:val="none" w:sz="0" w:space="0" w:color="auto"/>
            </w:tcBorders>
            <w:shd w:val="clear" w:color="auto" w:fill="4F81BD" w:themeFill="accent1"/>
          </w:tcPr>
          <w:p w:rsidR="00CE1614" w:rsidRPr="008B43F6" w:rsidRDefault="00CE161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color w:val="FFFFFF" w:themeColor="background1"/>
                <w:sz w:val="18"/>
                <w:szCs w:val="18"/>
                <w:lang w:eastAsia="es-MX"/>
              </w:rPr>
            </w:pPr>
            <w:r w:rsidRPr="008B43F6">
              <w:rPr>
                <w:rFonts w:eastAsia="Times New Roman" w:cs="Times New Roman"/>
                <w:b/>
                <w:color w:val="FFFFFF" w:themeColor="background1"/>
                <w:sz w:val="18"/>
                <w:szCs w:val="18"/>
                <w:lang w:eastAsia="es-MX"/>
              </w:rPr>
              <w:t>En gas licuado</w:t>
            </w:r>
          </w:p>
        </w:tc>
        <w:tc>
          <w:tcPr>
            <w:tcW w:w="1628" w:type="dxa"/>
            <w:tcBorders>
              <w:left w:val="none" w:sz="0" w:space="0" w:color="auto"/>
            </w:tcBorders>
            <w:shd w:val="clear" w:color="auto" w:fill="4F81BD" w:themeFill="accent1"/>
          </w:tcPr>
          <w:p w:rsidR="00CE1614" w:rsidRPr="008B43F6" w:rsidRDefault="00CE1614"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color w:val="FFFFFF" w:themeColor="background1"/>
                <w:sz w:val="18"/>
                <w:szCs w:val="18"/>
                <w:lang w:eastAsia="es-MX"/>
              </w:rPr>
            </w:pPr>
            <w:r w:rsidRPr="008B43F6">
              <w:rPr>
                <w:rFonts w:eastAsia="Times New Roman" w:cs="Times New Roman"/>
                <w:b/>
                <w:color w:val="FFFFFF" w:themeColor="background1"/>
                <w:sz w:val="18"/>
                <w:szCs w:val="18"/>
                <w:lang w:eastAsia="es-MX"/>
              </w:rPr>
              <w:t xml:space="preserve">Total </w:t>
            </w:r>
          </w:p>
        </w:tc>
      </w:tr>
      <w:tr w:rsidR="00611CBA" w:rsidRPr="008B43F6" w:rsidTr="00611CBA">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28" w:type="dxa"/>
            <w:tcBorders>
              <w:right w:val="none" w:sz="0" w:space="0" w:color="auto"/>
            </w:tcBorders>
            <w:shd w:val="clear" w:color="auto" w:fill="FFFFFF" w:themeFill="background1"/>
          </w:tcPr>
          <w:p w:rsidR="00CE1614" w:rsidRPr="008B43F6" w:rsidRDefault="00CE1614" w:rsidP="00C12621">
            <w:pPr>
              <w:spacing w:line="276" w:lineRule="auto"/>
              <w:ind w:left="371"/>
              <w:jc w:val="both"/>
              <w:rPr>
                <w:rFonts w:eastAsia="Times New Roman" w:cs="Times New Roman"/>
                <w:sz w:val="18"/>
                <w:szCs w:val="18"/>
                <w:lang w:eastAsia="es-MX"/>
              </w:rPr>
            </w:pPr>
            <w:r w:rsidRPr="008B43F6">
              <w:rPr>
                <w:rFonts w:eastAsia="Times New Roman" w:cs="Times New Roman"/>
                <w:sz w:val="18"/>
                <w:szCs w:val="18"/>
                <w:lang w:eastAsia="es-MX"/>
              </w:rPr>
              <w:t>1</w:t>
            </w:r>
          </w:p>
        </w:tc>
        <w:tc>
          <w:tcPr>
            <w:tcW w:w="1628" w:type="dxa"/>
            <w:tcBorders>
              <w:left w:val="none" w:sz="0" w:space="0" w:color="auto"/>
              <w:right w:val="none" w:sz="0" w:space="0" w:color="auto"/>
            </w:tcBorders>
            <w:shd w:val="clear" w:color="auto" w:fill="FFFFFF" w:themeFill="background1"/>
          </w:tcPr>
          <w:p w:rsidR="00CE1614" w:rsidRPr="008B43F6" w:rsidRDefault="00DC1C3C" w:rsidP="00C12621">
            <w:pPr>
              <w:spacing w:line="276" w:lineRule="auto"/>
              <w:jc w:val="both"/>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lang w:eastAsia="es-MX"/>
              </w:rPr>
            </w:pPr>
            <w:r w:rsidRPr="008B43F6">
              <w:rPr>
                <w:rFonts w:eastAsia="Times New Roman" w:cs="Times New Roman"/>
                <w:sz w:val="18"/>
                <w:szCs w:val="18"/>
                <w:lang w:eastAsia="es-MX"/>
              </w:rPr>
              <w:t>259</w:t>
            </w:r>
          </w:p>
        </w:tc>
        <w:tc>
          <w:tcPr>
            <w:tcW w:w="1628" w:type="dxa"/>
            <w:tcBorders>
              <w:left w:val="none" w:sz="0" w:space="0" w:color="auto"/>
              <w:right w:val="none" w:sz="0" w:space="0" w:color="auto"/>
            </w:tcBorders>
            <w:shd w:val="clear" w:color="auto" w:fill="FFFFFF" w:themeFill="background1"/>
          </w:tcPr>
          <w:p w:rsidR="00CE1614" w:rsidRPr="008B43F6" w:rsidRDefault="00DC1C3C" w:rsidP="00C12621">
            <w:pPr>
              <w:spacing w:line="276" w:lineRule="auto"/>
              <w:jc w:val="both"/>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lang w:eastAsia="es-MX"/>
              </w:rPr>
            </w:pPr>
            <w:r w:rsidRPr="008B43F6">
              <w:rPr>
                <w:rFonts w:eastAsia="Times New Roman" w:cs="Times New Roman"/>
                <w:sz w:val="18"/>
                <w:szCs w:val="18"/>
                <w:lang w:eastAsia="es-MX"/>
              </w:rPr>
              <w:t>337</w:t>
            </w:r>
          </w:p>
        </w:tc>
        <w:tc>
          <w:tcPr>
            <w:tcW w:w="1628" w:type="dxa"/>
            <w:tcBorders>
              <w:left w:val="none" w:sz="0" w:space="0" w:color="auto"/>
            </w:tcBorders>
            <w:shd w:val="clear" w:color="auto" w:fill="FFFFFF" w:themeFill="background1"/>
          </w:tcPr>
          <w:p w:rsidR="00CE1614" w:rsidRPr="008B43F6" w:rsidRDefault="00DC1C3C" w:rsidP="00C12621">
            <w:pPr>
              <w:spacing w:line="276" w:lineRule="auto"/>
              <w:jc w:val="both"/>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lang w:eastAsia="es-MX"/>
              </w:rPr>
            </w:pPr>
            <w:r w:rsidRPr="008B43F6">
              <w:rPr>
                <w:rFonts w:eastAsia="Times New Roman" w:cs="Times New Roman"/>
                <w:sz w:val="18"/>
                <w:szCs w:val="18"/>
                <w:lang w:eastAsia="es-MX"/>
              </w:rPr>
              <w:t>596</w:t>
            </w:r>
          </w:p>
        </w:tc>
      </w:tr>
      <w:tr w:rsidR="00611CBA" w:rsidRPr="008B43F6" w:rsidTr="00611CB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28" w:type="dxa"/>
            <w:tcBorders>
              <w:right w:val="none" w:sz="0" w:space="0" w:color="auto"/>
            </w:tcBorders>
            <w:shd w:val="clear" w:color="auto" w:fill="FFFFFF" w:themeFill="background1"/>
          </w:tcPr>
          <w:p w:rsidR="00CE1614" w:rsidRPr="008B43F6" w:rsidRDefault="00CE1614" w:rsidP="00C12621">
            <w:pPr>
              <w:spacing w:line="276" w:lineRule="auto"/>
              <w:ind w:left="371"/>
              <w:jc w:val="both"/>
              <w:rPr>
                <w:rFonts w:eastAsia="Times New Roman" w:cs="Times New Roman"/>
                <w:sz w:val="18"/>
                <w:szCs w:val="18"/>
                <w:lang w:eastAsia="es-MX"/>
              </w:rPr>
            </w:pPr>
            <w:r w:rsidRPr="008B43F6">
              <w:rPr>
                <w:rFonts w:eastAsia="Times New Roman" w:cs="Times New Roman"/>
                <w:sz w:val="18"/>
                <w:szCs w:val="18"/>
                <w:lang w:eastAsia="es-MX"/>
              </w:rPr>
              <w:t xml:space="preserve">2 </w:t>
            </w:r>
          </w:p>
        </w:tc>
        <w:tc>
          <w:tcPr>
            <w:tcW w:w="1628" w:type="dxa"/>
            <w:tcBorders>
              <w:left w:val="none" w:sz="0" w:space="0" w:color="auto"/>
              <w:right w:val="none" w:sz="0" w:space="0" w:color="auto"/>
            </w:tcBorders>
            <w:shd w:val="clear" w:color="auto" w:fill="FFFFFF" w:themeFill="background1"/>
          </w:tcPr>
          <w:p w:rsidR="00CE1614" w:rsidRPr="008B43F6" w:rsidRDefault="00DC1C3C"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8B43F6">
              <w:rPr>
                <w:rFonts w:eastAsia="Times New Roman" w:cs="Times New Roman"/>
                <w:sz w:val="18"/>
                <w:szCs w:val="18"/>
                <w:lang w:eastAsia="es-MX"/>
              </w:rPr>
              <w:t>388</w:t>
            </w:r>
          </w:p>
        </w:tc>
        <w:tc>
          <w:tcPr>
            <w:tcW w:w="1628" w:type="dxa"/>
            <w:tcBorders>
              <w:left w:val="none" w:sz="0" w:space="0" w:color="auto"/>
              <w:right w:val="none" w:sz="0" w:space="0" w:color="auto"/>
            </w:tcBorders>
            <w:shd w:val="clear" w:color="auto" w:fill="FFFFFF" w:themeFill="background1"/>
          </w:tcPr>
          <w:p w:rsidR="00CE1614" w:rsidRPr="008B43F6" w:rsidRDefault="00DC1C3C"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8B43F6">
              <w:rPr>
                <w:rFonts w:eastAsia="Times New Roman" w:cs="Times New Roman"/>
                <w:sz w:val="18"/>
                <w:szCs w:val="18"/>
                <w:lang w:eastAsia="es-MX"/>
              </w:rPr>
              <w:t>505</w:t>
            </w:r>
          </w:p>
        </w:tc>
        <w:tc>
          <w:tcPr>
            <w:tcW w:w="1628" w:type="dxa"/>
            <w:tcBorders>
              <w:left w:val="none" w:sz="0" w:space="0" w:color="auto"/>
            </w:tcBorders>
            <w:shd w:val="clear" w:color="auto" w:fill="FFFFFF" w:themeFill="background1"/>
          </w:tcPr>
          <w:p w:rsidR="00CE1614" w:rsidRPr="008B43F6" w:rsidRDefault="00DC1C3C"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8B43F6">
              <w:rPr>
                <w:rFonts w:eastAsia="Times New Roman" w:cs="Times New Roman"/>
                <w:sz w:val="18"/>
                <w:szCs w:val="18"/>
                <w:lang w:eastAsia="es-MX"/>
              </w:rPr>
              <w:t>893</w:t>
            </w:r>
          </w:p>
        </w:tc>
      </w:tr>
      <w:tr w:rsidR="00611CBA" w:rsidRPr="008B43F6" w:rsidTr="00611CBA">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28" w:type="dxa"/>
            <w:tcBorders>
              <w:right w:val="none" w:sz="0" w:space="0" w:color="auto"/>
            </w:tcBorders>
            <w:shd w:val="clear" w:color="auto" w:fill="FFFFFF" w:themeFill="background1"/>
          </w:tcPr>
          <w:p w:rsidR="00CE1614" w:rsidRPr="008B43F6" w:rsidRDefault="00CE1614" w:rsidP="00C12621">
            <w:pPr>
              <w:spacing w:line="276" w:lineRule="auto"/>
              <w:ind w:left="371"/>
              <w:jc w:val="both"/>
              <w:rPr>
                <w:rFonts w:eastAsia="Times New Roman" w:cs="Times New Roman"/>
                <w:sz w:val="18"/>
                <w:szCs w:val="18"/>
                <w:lang w:eastAsia="es-MX"/>
              </w:rPr>
            </w:pPr>
            <w:r w:rsidRPr="008B43F6">
              <w:rPr>
                <w:rFonts w:eastAsia="Times New Roman" w:cs="Times New Roman"/>
                <w:sz w:val="18"/>
                <w:szCs w:val="18"/>
                <w:lang w:eastAsia="es-MX"/>
              </w:rPr>
              <w:t>3</w:t>
            </w:r>
          </w:p>
        </w:tc>
        <w:tc>
          <w:tcPr>
            <w:tcW w:w="1628" w:type="dxa"/>
            <w:tcBorders>
              <w:left w:val="none" w:sz="0" w:space="0" w:color="auto"/>
              <w:right w:val="none" w:sz="0" w:space="0" w:color="auto"/>
            </w:tcBorders>
            <w:shd w:val="clear" w:color="auto" w:fill="FFFFFF" w:themeFill="background1"/>
          </w:tcPr>
          <w:p w:rsidR="00CE1614" w:rsidRPr="008B43F6" w:rsidRDefault="00DC1C3C" w:rsidP="00C12621">
            <w:pPr>
              <w:spacing w:line="276" w:lineRule="auto"/>
              <w:jc w:val="both"/>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lang w:eastAsia="es-MX"/>
              </w:rPr>
            </w:pPr>
            <w:r w:rsidRPr="008B43F6">
              <w:rPr>
                <w:rFonts w:eastAsia="Times New Roman" w:cs="Times New Roman"/>
                <w:sz w:val="18"/>
                <w:szCs w:val="18"/>
                <w:lang w:eastAsia="es-MX"/>
              </w:rPr>
              <w:t>776</w:t>
            </w:r>
          </w:p>
        </w:tc>
        <w:tc>
          <w:tcPr>
            <w:tcW w:w="1628" w:type="dxa"/>
            <w:tcBorders>
              <w:left w:val="none" w:sz="0" w:space="0" w:color="auto"/>
              <w:right w:val="none" w:sz="0" w:space="0" w:color="auto"/>
            </w:tcBorders>
            <w:shd w:val="clear" w:color="auto" w:fill="FFFFFF" w:themeFill="background1"/>
          </w:tcPr>
          <w:p w:rsidR="00CE1614" w:rsidRPr="008B43F6" w:rsidRDefault="00DC1C3C" w:rsidP="00C12621">
            <w:pPr>
              <w:spacing w:line="276" w:lineRule="auto"/>
              <w:jc w:val="both"/>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lang w:eastAsia="es-MX"/>
              </w:rPr>
            </w:pPr>
            <w:r w:rsidRPr="008B43F6">
              <w:rPr>
                <w:rFonts w:eastAsia="Times New Roman" w:cs="Times New Roman"/>
                <w:sz w:val="18"/>
                <w:szCs w:val="18"/>
                <w:lang w:eastAsia="es-MX"/>
              </w:rPr>
              <w:t>1,011</w:t>
            </w:r>
          </w:p>
        </w:tc>
        <w:tc>
          <w:tcPr>
            <w:tcW w:w="1628" w:type="dxa"/>
            <w:tcBorders>
              <w:left w:val="none" w:sz="0" w:space="0" w:color="auto"/>
            </w:tcBorders>
            <w:shd w:val="clear" w:color="auto" w:fill="FFFFFF" w:themeFill="background1"/>
          </w:tcPr>
          <w:p w:rsidR="00CE1614" w:rsidRPr="008B43F6" w:rsidRDefault="00DC1C3C" w:rsidP="00C12621">
            <w:pPr>
              <w:spacing w:line="276" w:lineRule="auto"/>
              <w:jc w:val="both"/>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lang w:eastAsia="es-MX"/>
              </w:rPr>
            </w:pPr>
            <w:r w:rsidRPr="008B43F6">
              <w:rPr>
                <w:rFonts w:eastAsia="Times New Roman" w:cs="Times New Roman"/>
                <w:sz w:val="18"/>
                <w:szCs w:val="18"/>
                <w:lang w:eastAsia="es-MX"/>
              </w:rPr>
              <w:t>1,787</w:t>
            </w:r>
          </w:p>
        </w:tc>
      </w:tr>
    </w:tbl>
    <w:p w:rsidR="00CE1614" w:rsidRPr="008B43F6" w:rsidRDefault="00CE1614" w:rsidP="00C12621">
      <w:pPr>
        <w:jc w:val="both"/>
        <w:rPr>
          <w:b/>
          <w:color w:val="1F497D" w:themeColor="text2"/>
        </w:rPr>
      </w:pPr>
    </w:p>
    <w:p w:rsidR="005C7E01" w:rsidRPr="008B43F6" w:rsidRDefault="00027D3B" w:rsidP="00C12621">
      <w:pPr>
        <w:pStyle w:val="Ttulo2"/>
        <w:jc w:val="both"/>
        <w:rPr>
          <w:rFonts w:asciiTheme="minorHAnsi" w:hAnsiTheme="minorHAnsi"/>
        </w:rPr>
      </w:pPr>
      <w:bookmarkStart w:id="88" w:name="_Toc350874990"/>
      <w:bookmarkStart w:id="89" w:name="_Toc351397602"/>
      <w:r w:rsidRPr="008B43F6">
        <w:rPr>
          <w:rFonts w:asciiTheme="minorHAnsi" w:hAnsiTheme="minorHAnsi"/>
        </w:rPr>
        <w:t xml:space="preserve">6.3 </w:t>
      </w:r>
      <w:r w:rsidR="00DC1C3C" w:rsidRPr="008B43F6">
        <w:rPr>
          <w:rFonts w:asciiTheme="minorHAnsi" w:hAnsiTheme="minorHAnsi"/>
        </w:rPr>
        <w:t>Emisiones evitadas</w:t>
      </w:r>
      <w:bookmarkEnd w:id="88"/>
      <w:bookmarkEnd w:id="89"/>
    </w:p>
    <w:p w:rsidR="00DC1C3C" w:rsidRPr="008B43F6" w:rsidRDefault="00F31614" w:rsidP="00C12621">
      <w:pPr>
        <w:jc w:val="both"/>
      </w:pPr>
      <w:r w:rsidRPr="008B43F6">
        <w:t>La reducción de emisiones al</w:t>
      </w:r>
      <w:r w:rsidR="00DC1C3C" w:rsidRPr="008B43F6">
        <w:t xml:space="preserve"> medio ambiente por la implementación de programas de vivienda sustentable, son  de</w:t>
      </w:r>
      <w:r w:rsidR="00E56ADA" w:rsidRPr="008B43F6">
        <w:t xml:space="preserve"> 716 mil toneladas de CO</w:t>
      </w:r>
      <w:r w:rsidR="00E56ADA" w:rsidRPr="008B43F6">
        <w:rPr>
          <w:vertAlign w:val="subscript"/>
        </w:rPr>
        <w:t>2</w:t>
      </w:r>
      <w:r w:rsidR="00DC1C3C" w:rsidRPr="008B43F6">
        <w:t xml:space="preserve"> </w:t>
      </w:r>
      <w:r w:rsidR="00611CBA" w:rsidRPr="008B43F6">
        <w:t xml:space="preserve"> en el Escenario 1 </w:t>
      </w:r>
      <w:r w:rsidR="00DC1C3C" w:rsidRPr="008B43F6">
        <w:t xml:space="preserve">y 2.15 millones toneladas </w:t>
      </w:r>
      <w:r w:rsidR="00611CBA" w:rsidRPr="008B43F6">
        <w:t>en el Escenario 3</w:t>
      </w:r>
      <w:r w:rsidR="00DC1C3C" w:rsidRPr="008B43F6">
        <w:t xml:space="preserve"> (Tabla </w:t>
      </w:r>
      <w:r w:rsidR="00E75797" w:rsidRPr="008B43F6">
        <w:t>6.6</w:t>
      </w:r>
      <w:r w:rsidR="00DC1C3C" w:rsidRPr="008B43F6">
        <w:t>).</w:t>
      </w:r>
      <w:r w:rsidR="00817EA0" w:rsidRPr="008B43F6">
        <w:t xml:space="preserve"> </w:t>
      </w:r>
    </w:p>
    <w:p w:rsidR="00DC1C3C" w:rsidRPr="008B43F6" w:rsidRDefault="00DC1C3C" w:rsidP="00C12621">
      <w:pPr>
        <w:spacing w:after="0"/>
        <w:jc w:val="both"/>
        <w:rPr>
          <w:b/>
          <w:sz w:val="18"/>
          <w:szCs w:val="18"/>
        </w:rPr>
      </w:pPr>
      <w:r w:rsidRPr="008B43F6">
        <w:rPr>
          <w:b/>
          <w:sz w:val="18"/>
          <w:szCs w:val="18"/>
        </w:rPr>
        <w:t xml:space="preserve">Tabla </w:t>
      </w:r>
      <w:r w:rsidR="00165CC7" w:rsidRPr="008B43F6">
        <w:rPr>
          <w:b/>
          <w:sz w:val="18"/>
          <w:szCs w:val="18"/>
        </w:rPr>
        <w:t>6.6</w:t>
      </w:r>
      <w:r w:rsidRPr="008B43F6">
        <w:rPr>
          <w:b/>
          <w:sz w:val="18"/>
          <w:szCs w:val="18"/>
        </w:rPr>
        <w:t xml:space="preserve"> </w:t>
      </w:r>
      <w:r w:rsidRPr="008B43F6">
        <w:rPr>
          <w:sz w:val="18"/>
          <w:szCs w:val="18"/>
        </w:rPr>
        <w:t>Emisiones contaminantes evitadas por la implementación de un programa de vivienda sustentable</w:t>
      </w:r>
    </w:p>
    <w:tbl>
      <w:tblPr>
        <w:tblStyle w:val="Sombreadomedio1-nfasis1"/>
        <w:tblW w:w="6728"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2"/>
        <w:gridCol w:w="980"/>
        <w:gridCol w:w="980"/>
        <w:gridCol w:w="980"/>
        <w:gridCol w:w="980"/>
        <w:gridCol w:w="980"/>
        <w:gridCol w:w="980"/>
      </w:tblGrid>
      <w:tr w:rsidR="00611CBA" w:rsidRPr="008B43F6" w:rsidTr="00611CB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27" w:type="dxa"/>
            <w:tcBorders>
              <w:top w:val="none" w:sz="0" w:space="0" w:color="auto"/>
              <w:left w:val="none" w:sz="0" w:space="0" w:color="auto"/>
              <w:bottom w:val="none" w:sz="0" w:space="0" w:color="auto"/>
              <w:right w:val="none" w:sz="0" w:space="0" w:color="auto"/>
            </w:tcBorders>
          </w:tcPr>
          <w:p w:rsidR="00DC1C3C" w:rsidRPr="008B43F6" w:rsidRDefault="00BF0BE8" w:rsidP="00C12621">
            <w:pPr>
              <w:spacing w:line="276" w:lineRule="auto"/>
              <w:jc w:val="both"/>
              <w:rPr>
                <w:rFonts w:eastAsia="Times New Roman" w:cs="Times New Roman"/>
                <w:sz w:val="18"/>
                <w:szCs w:val="18"/>
                <w:lang w:eastAsia="es-MX"/>
              </w:rPr>
            </w:pPr>
            <w:r w:rsidRPr="008B43F6">
              <w:rPr>
                <w:rFonts w:eastAsia="Times New Roman" w:cs="Times New Roman"/>
                <w:sz w:val="18"/>
                <w:szCs w:val="18"/>
                <w:lang w:eastAsia="es-MX"/>
              </w:rPr>
              <w:t>Escenario</w:t>
            </w:r>
          </w:p>
        </w:tc>
        <w:tc>
          <w:tcPr>
            <w:tcW w:w="1011" w:type="dxa"/>
            <w:tcBorders>
              <w:top w:val="none" w:sz="0" w:space="0" w:color="auto"/>
              <w:left w:val="none" w:sz="0" w:space="0" w:color="auto"/>
              <w:bottom w:val="none" w:sz="0" w:space="0" w:color="auto"/>
              <w:right w:val="none" w:sz="0" w:space="0" w:color="auto"/>
            </w:tcBorders>
          </w:tcPr>
          <w:p w:rsidR="00DC1C3C" w:rsidRPr="008B43F6" w:rsidRDefault="00DC1C3C" w:rsidP="00C12621">
            <w:pPr>
              <w:spacing w:line="276" w:lineRule="auto"/>
              <w:jc w:val="both"/>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8B43F6">
              <w:rPr>
                <w:rFonts w:eastAsia="Times New Roman" w:cs="Times New Roman"/>
                <w:sz w:val="18"/>
                <w:szCs w:val="18"/>
                <w:lang w:eastAsia="es-MX"/>
              </w:rPr>
              <w:t>CO</w:t>
            </w:r>
            <w:r w:rsidRPr="008B43F6">
              <w:rPr>
                <w:rFonts w:eastAsia="Times New Roman" w:cs="Times New Roman"/>
                <w:sz w:val="18"/>
                <w:szCs w:val="18"/>
                <w:vertAlign w:val="subscript"/>
                <w:lang w:eastAsia="es-MX"/>
              </w:rPr>
              <w:t>2</w:t>
            </w:r>
          </w:p>
          <w:p w:rsidR="00DC1C3C" w:rsidRPr="008B43F6" w:rsidRDefault="00462872" w:rsidP="00C12621">
            <w:pPr>
              <w:spacing w:line="276" w:lineRule="auto"/>
              <w:jc w:val="both"/>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8B43F6">
              <w:rPr>
                <w:rFonts w:eastAsia="Times New Roman" w:cs="Times New Roman"/>
                <w:sz w:val="18"/>
                <w:szCs w:val="18"/>
                <w:lang w:eastAsia="es-MX"/>
              </w:rPr>
              <w:t>Miles</w:t>
            </w:r>
            <w:r w:rsidR="00DC1C3C" w:rsidRPr="008B43F6">
              <w:rPr>
                <w:rFonts w:eastAsia="Times New Roman" w:cs="Times New Roman"/>
                <w:sz w:val="18"/>
                <w:szCs w:val="18"/>
                <w:lang w:eastAsia="es-MX"/>
              </w:rPr>
              <w:t xml:space="preserve"> de Toneladas</w:t>
            </w:r>
          </w:p>
        </w:tc>
        <w:tc>
          <w:tcPr>
            <w:tcW w:w="652" w:type="dxa"/>
            <w:tcBorders>
              <w:top w:val="none" w:sz="0" w:space="0" w:color="auto"/>
              <w:left w:val="none" w:sz="0" w:space="0" w:color="auto"/>
              <w:bottom w:val="none" w:sz="0" w:space="0" w:color="auto"/>
              <w:right w:val="none" w:sz="0" w:space="0" w:color="auto"/>
            </w:tcBorders>
          </w:tcPr>
          <w:p w:rsidR="00DC1C3C" w:rsidRPr="008B43F6" w:rsidRDefault="00DC1C3C" w:rsidP="00C12621">
            <w:pPr>
              <w:spacing w:line="276" w:lineRule="auto"/>
              <w:jc w:val="both"/>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8B43F6">
              <w:rPr>
                <w:rFonts w:eastAsia="Times New Roman" w:cs="Times New Roman"/>
                <w:sz w:val="18"/>
                <w:szCs w:val="18"/>
                <w:lang w:eastAsia="es-MX"/>
              </w:rPr>
              <w:t>CH</w:t>
            </w:r>
            <w:r w:rsidRPr="008B43F6">
              <w:rPr>
                <w:rFonts w:eastAsia="Times New Roman" w:cs="Times New Roman"/>
                <w:sz w:val="18"/>
                <w:szCs w:val="18"/>
                <w:vertAlign w:val="subscript"/>
                <w:lang w:eastAsia="es-MX"/>
              </w:rPr>
              <w:t>4</w:t>
            </w:r>
          </w:p>
          <w:p w:rsidR="00DC1C3C" w:rsidRPr="008B43F6" w:rsidRDefault="00DC1C3C" w:rsidP="00C12621">
            <w:pPr>
              <w:spacing w:line="276" w:lineRule="auto"/>
              <w:jc w:val="both"/>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8B43F6">
              <w:rPr>
                <w:rFonts w:eastAsia="Times New Roman" w:cs="Times New Roman"/>
                <w:sz w:val="18"/>
                <w:szCs w:val="18"/>
                <w:lang w:eastAsia="es-MX"/>
              </w:rPr>
              <w:t>Toneladas</w:t>
            </w:r>
          </w:p>
        </w:tc>
        <w:tc>
          <w:tcPr>
            <w:tcW w:w="928" w:type="dxa"/>
            <w:tcBorders>
              <w:top w:val="none" w:sz="0" w:space="0" w:color="auto"/>
              <w:left w:val="none" w:sz="0" w:space="0" w:color="auto"/>
              <w:bottom w:val="none" w:sz="0" w:space="0" w:color="auto"/>
              <w:right w:val="none" w:sz="0" w:space="0" w:color="auto"/>
            </w:tcBorders>
          </w:tcPr>
          <w:p w:rsidR="00DC1C3C" w:rsidRPr="008B43F6" w:rsidRDefault="00DC1C3C" w:rsidP="00C12621">
            <w:pPr>
              <w:spacing w:line="276" w:lineRule="auto"/>
              <w:jc w:val="both"/>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8B43F6">
              <w:rPr>
                <w:rFonts w:eastAsia="Times New Roman" w:cs="Times New Roman"/>
                <w:sz w:val="18"/>
                <w:szCs w:val="18"/>
                <w:lang w:eastAsia="es-MX"/>
              </w:rPr>
              <w:t>N</w:t>
            </w:r>
            <w:r w:rsidRPr="008B43F6">
              <w:rPr>
                <w:rFonts w:eastAsia="Times New Roman" w:cs="Times New Roman"/>
                <w:sz w:val="18"/>
                <w:szCs w:val="18"/>
                <w:vertAlign w:val="subscript"/>
                <w:lang w:eastAsia="es-MX"/>
              </w:rPr>
              <w:t>2</w:t>
            </w:r>
            <w:r w:rsidRPr="008B43F6">
              <w:rPr>
                <w:rFonts w:eastAsia="Times New Roman" w:cs="Times New Roman"/>
                <w:sz w:val="18"/>
                <w:szCs w:val="18"/>
                <w:lang w:eastAsia="es-MX"/>
              </w:rPr>
              <w:t>O</w:t>
            </w:r>
          </w:p>
          <w:p w:rsidR="00DC1C3C" w:rsidRPr="008B43F6" w:rsidRDefault="00DC1C3C" w:rsidP="00C12621">
            <w:pPr>
              <w:spacing w:line="276" w:lineRule="auto"/>
              <w:jc w:val="both"/>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8B43F6">
              <w:rPr>
                <w:rFonts w:eastAsia="Times New Roman" w:cs="Times New Roman"/>
                <w:sz w:val="18"/>
                <w:szCs w:val="18"/>
                <w:lang w:eastAsia="es-MX"/>
              </w:rPr>
              <w:t>Toneladas</w:t>
            </w:r>
          </w:p>
        </w:tc>
        <w:tc>
          <w:tcPr>
            <w:tcW w:w="997" w:type="dxa"/>
            <w:tcBorders>
              <w:top w:val="none" w:sz="0" w:space="0" w:color="auto"/>
              <w:left w:val="none" w:sz="0" w:space="0" w:color="auto"/>
              <w:bottom w:val="none" w:sz="0" w:space="0" w:color="auto"/>
              <w:right w:val="none" w:sz="0" w:space="0" w:color="auto"/>
            </w:tcBorders>
          </w:tcPr>
          <w:p w:rsidR="00DC1C3C" w:rsidRPr="008B43F6" w:rsidRDefault="00DC1C3C" w:rsidP="00C12621">
            <w:pPr>
              <w:spacing w:line="276" w:lineRule="auto"/>
              <w:jc w:val="both"/>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8B43F6">
              <w:rPr>
                <w:rFonts w:eastAsia="Times New Roman" w:cs="Times New Roman"/>
                <w:sz w:val="18"/>
                <w:szCs w:val="18"/>
                <w:lang w:eastAsia="es-MX"/>
              </w:rPr>
              <w:t>NO</w:t>
            </w:r>
            <w:r w:rsidRPr="008B43F6">
              <w:rPr>
                <w:rFonts w:eastAsia="Times New Roman" w:cs="Times New Roman"/>
                <w:sz w:val="18"/>
                <w:szCs w:val="18"/>
                <w:vertAlign w:val="subscript"/>
                <w:lang w:eastAsia="es-MX"/>
              </w:rPr>
              <w:t>x</w:t>
            </w:r>
          </w:p>
          <w:p w:rsidR="00DC1C3C" w:rsidRPr="008B43F6" w:rsidRDefault="00462872" w:rsidP="00C12621">
            <w:pPr>
              <w:spacing w:line="276" w:lineRule="auto"/>
              <w:jc w:val="both"/>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8B43F6">
              <w:rPr>
                <w:rFonts w:eastAsia="Times New Roman" w:cs="Times New Roman"/>
                <w:sz w:val="18"/>
                <w:szCs w:val="18"/>
                <w:lang w:eastAsia="es-MX"/>
              </w:rPr>
              <w:t>Toneladas</w:t>
            </w:r>
          </w:p>
        </w:tc>
        <w:tc>
          <w:tcPr>
            <w:tcW w:w="940" w:type="dxa"/>
            <w:tcBorders>
              <w:top w:val="none" w:sz="0" w:space="0" w:color="auto"/>
              <w:left w:val="none" w:sz="0" w:space="0" w:color="auto"/>
              <w:bottom w:val="none" w:sz="0" w:space="0" w:color="auto"/>
              <w:right w:val="none" w:sz="0" w:space="0" w:color="auto"/>
            </w:tcBorders>
          </w:tcPr>
          <w:p w:rsidR="00DC1C3C" w:rsidRPr="008B43F6" w:rsidRDefault="00DC1C3C" w:rsidP="00C12621">
            <w:pPr>
              <w:spacing w:line="276" w:lineRule="auto"/>
              <w:jc w:val="both"/>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8B43F6">
              <w:rPr>
                <w:rFonts w:eastAsia="Times New Roman" w:cs="Times New Roman"/>
                <w:sz w:val="18"/>
                <w:szCs w:val="18"/>
                <w:lang w:eastAsia="es-MX"/>
              </w:rPr>
              <w:t>CO</w:t>
            </w:r>
          </w:p>
          <w:p w:rsidR="00DC1C3C" w:rsidRPr="008B43F6" w:rsidRDefault="00462872" w:rsidP="00C12621">
            <w:pPr>
              <w:spacing w:line="276" w:lineRule="auto"/>
              <w:jc w:val="both"/>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8B43F6">
              <w:rPr>
                <w:rFonts w:eastAsia="Times New Roman" w:cs="Times New Roman"/>
                <w:sz w:val="18"/>
                <w:szCs w:val="18"/>
                <w:lang w:eastAsia="es-MX"/>
              </w:rPr>
              <w:t>Toneladas</w:t>
            </w:r>
          </w:p>
        </w:tc>
        <w:tc>
          <w:tcPr>
            <w:tcW w:w="973" w:type="dxa"/>
            <w:tcBorders>
              <w:top w:val="none" w:sz="0" w:space="0" w:color="auto"/>
              <w:left w:val="none" w:sz="0" w:space="0" w:color="auto"/>
              <w:bottom w:val="none" w:sz="0" w:space="0" w:color="auto"/>
              <w:right w:val="none" w:sz="0" w:space="0" w:color="auto"/>
            </w:tcBorders>
          </w:tcPr>
          <w:p w:rsidR="00DC1C3C" w:rsidRPr="008B43F6" w:rsidRDefault="00DC1C3C" w:rsidP="00C12621">
            <w:pPr>
              <w:spacing w:line="276" w:lineRule="auto"/>
              <w:jc w:val="both"/>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8B43F6">
              <w:rPr>
                <w:rFonts w:eastAsia="Times New Roman" w:cs="Times New Roman"/>
                <w:sz w:val="18"/>
                <w:szCs w:val="18"/>
                <w:lang w:eastAsia="es-MX"/>
              </w:rPr>
              <w:t>NMVOC</w:t>
            </w:r>
          </w:p>
          <w:p w:rsidR="00DC1C3C" w:rsidRPr="008B43F6" w:rsidRDefault="00462872" w:rsidP="00C12621">
            <w:pPr>
              <w:spacing w:line="276" w:lineRule="auto"/>
              <w:jc w:val="both"/>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8B43F6">
              <w:rPr>
                <w:rFonts w:eastAsia="Times New Roman" w:cs="Times New Roman"/>
                <w:sz w:val="18"/>
                <w:szCs w:val="18"/>
                <w:lang w:eastAsia="es-MX"/>
              </w:rPr>
              <w:t>Toneladas</w:t>
            </w:r>
          </w:p>
        </w:tc>
      </w:tr>
      <w:tr w:rsidR="00611CBA" w:rsidRPr="008B43F6" w:rsidTr="00611CB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27" w:type="dxa"/>
            <w:tcBorders>
              <w:right w:val="none" w:sz="0" w:space="0" w:color="auto"/>
            </w:tcBorders>
            <w:shd w:val="clear" w:color="auto" w:fill="FFFFFF" w:themeFill="background1"/>
          </w:tcPr>
          <w:p w:rsidR="00DC1C3C" w:rsidRPr="008B43F6" w:rsidRDefault="00DC1C3C" w:rsidP="00C12621">
            <w:pPr>
              <w:spacing w:line="276" w:lineRule="auto"/>
              <w:jc w:val="both"/>
              <w:rPr>
                <w:rFonts w:eastAsia="Times New Roman" w:cs="Times New Roman"/>
                <w:sz w:val="18"/>
                <w:szCs w:val="18"/>
                <w:lang w:eastAsia="es-MX"/>
              </w:rPr>
            </w:pPr>
            <w:r w:rsidRPr="008B43F6">
              <w:rPr>
                <w:rFonts w:eastAsia="Times New Roman" w:cs="Times New Roman"/>
                <w:sz w:val="18"/>
                <w:szCs w:val="18"/>
                <w:lang w:eastAsia="es-MX"/>
              </w:rPr>
              <w:t>1</w:t>
            </w:r>
          </w:p>
        </w:tc>
        <w:tc>
          <w:tcPr>
            <w:tcW w:w="1011" w:type="dxa"/>
            <w:tcBorders>
              <w:left w:val="none" w:sz="0" w:space="0" w:color="auto"/>
              <w:right w:val="none" w:sz="0" w:space="0" w:color="auto"/>
            </w:tcBorders>
            <w:shd w:val="clear" w:color="auto" w:fill="FFFFFF" w:themeFill="background1"/>
          </w:tcPr>
          <w:p w:rsidR="00DC1C3C" w:rsidRPr="008B43F6" w:rsidRDefault="00462872" w:rsidP="00C12621">
            <w:pPr>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B43F6">
              <w:rPr>
                <w:sz w:val="18"/>
                <w:szCs w:val="18"/>
              </w:rPr>
              <w:t>716</w:t>
            </w:r>
          </w:p>
        </w:tc>
        <w:tc>
          <w:tcPr>
            <w:tcW w:w="652" w:type="dxa"/>
            <w:tcBorders>
              <w:left w:val="none" w:sz="0" w:space="0" w:color="auto"/>
              <w:right w:val="none" w:sz="0" w:space="0" w:color="auto"/>
            </w:tcBorders>
            <w:shd w:val="clear" w:color="auto" w:fill="FFFFFF" w:themeFill="background1"/>
          </w:tcPr>
          <w:p w:rsidR="00DC1C3C" w:rsidRPr="008B43F6" w:rsidRDefault="00462872" w:rsidP="00C12621">
            <w:pPr>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B43F6">
              <w:rPr>
                <w:sz w:val="18"/>
                <w:szCs w:val="18"/>
              </w:rPr>
              <w:t>14</w:t>
            </w:r>
          </w:p>
        </w:tc>
        <w:tc>
          <w:tcPr>
            <w:tcW w:w="928" w:type="dxa"/>
            <w:tcBorders>
              <w:left w:val="none" w:sz="0" w:space="0" w:color="auto"/>
              <w:right w:val="none" w:sz="0" w:space="0" w:color="auto"/>
            </w:tcBorders>
            <w:shd w:val="clear" w:color="auto" w:fill="FFFFFF" w:themeFill="background1"/>
          </w:tcPr>
          <w:p w:rsidR="00DC1C3C" w:rsidRPr="008B43F6" w:rsidRDefault="00462872" w:rsidP="00C12621">
            <w:pPr>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B43F6">
              <w:rPr>
                <w:sz w:val="18"/>
                <w:szCs w:val="18"/>
              </w:rPr>
              <w:t>6</w:t>
            </w:r>
          </w:p>
        </w:tc>
        <w:tc>
          <w:tcPr>
            <w:tcW w:w="997" w:type="dxa"/>
            <w:tcBorders>
              <w:left w:val="none" w:sz="0" w:space="0" w:color="auto"/>
              <w:right w:val="none" w:sz="0" w:space="0" w:color="auto"/>
            </w:tcBorders>
            <w:shd w:val="clear" w:color="auto" w:fill="FFFFFF" w:themeFill="background1"/>
          </w:tcPr>
          <w:p w:rsidR="00DC1C3C" w:rsidRPr="008B43F6" w:rsidRDefault="00462872" w:rsidP="00C12621">
            <w:pPr>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B43F6">
              <w:rPr>
                <w:sz w:val="18"/>
                <w:szCs w:val="18"/>
              </w:rPr>
              <w:t>620</w:t>
            </w:r>
          </w:p>
        </w:tc>
        <w:tc>
          <w:tcPr>
            <w:tcW w:w="940" w:type="dxa"/>
            <w:tcBorders>
              <w:left w:val="none" w:sz="0" w:space="0" w:color="auto"/>
              <w:right w:val="none" w:sz="0" w:space="0" w:color="auto"/>
            </w:tcBorders>
            <w:shd w:val="clear" w:color="auto" w:fill="FFFFFF" w:themeFill="background1"/>
          </w:tcPr>
          <w:p w:rsidR="00DC1C3C" w:rsidRPr="008B43F6" w:rsidRDefault="00462872" w:rsidP="00C12621">
            <w:pPr>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B43F6">
              <w:rPr>
                <w:sz w:val="18"/>
                <w:szCs w:val="18"/>
              </w:rPr>
              <w:t>52</w:t>
            </w:r>
          </w:p>
        </w:tc>
        <w:tc>
          <w:tcPr>
            <w:tcW w:w="973" w:type="dxa"/>
            <w:tcBorders>
              <w:left w:val="none" w:sz="0" w:space="0" w:color="auto"/>
            </w:tcBorders>
            <w:shd w:val="clear" w:color="auto" w:fill="FFFFFF" w:themeFill="background1"/>
          </w:tcPr>
          <w:p w:rsidR="00DC1C3C" w:rsidRPr="008B43F6" w:rsidRDefault="00462872" w:rsidP="00C12621">
            <w:pPr>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B43F6">
              <w:rPr>
                <w:sz w:val="18"/>
                <w:szCs w:val="18"/>
              </w:rPr>
              <w:t>14</w:t>
            </w:r>
          </w:p>
        </w:tc>
      </w:tr>
      <w:tr w:rsidR="00611CBA" w:rsidRPr="008B43F6" w:rsidTr="00611CBA">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27" w:type="dxa"/>
            <w:tcBorders>
              <w:right w:val="none" w:sz="0" w:space="0" w:color="auto"/>
            </w:tcBorders>
            <w:shd w:val="clear" w:color="auto" w:fill="FFFFFF" w:themeFill="background1"/>
          </w:tcPr>
          <w:p w:rsidR="00DC1C3C" w:rsidRPr="008B43F6" w:rsidRDefault="00DC1C3C" w:rsidP="00C12621">
            <w:pPr>
              <w:spacing w:line="276" w:lineRule="auto"/>
              <w:jc w:val="both"/>
              <w:rPr>
                <w:rFonts w:eastAsia="Times New Roman" w:cs="Times New Roman"/>
                <w:sz w:val="18"/>
                <w:szCs w:val="18"/>
                <w:lang w:eastAsia="es-MX"/>
              </w:rPr>
            </w:pPr>
            <w:r w:rsidRPr="008B43F6">
              <w:rPr>
                <w:rFonts w:eastAsia="Times New Roman" w:cs="Times New Roman"/>
                <w:sz w:val="18"/>
                <w:szCs w:val="18"/>
                <w:lang w:eastAsia="es-MX"/>
              </w:rPr>
              <w:t>2</w:t>
            </w:r>
          </w:p>
        </w:tc>
        <w:tc>
          <w:tcPr>
            <w:tcW w:w="1011" w:type="dxa"/>
            <w:tcBorders>
              <w:left w:val="none" w:sz="0" w:space="0" w:color="auto"/>
              <w:right w:val="none" w:sz="0" w:space="0" w:color="auto"/>
            </w:tcBorders>
            <w:shd w:val="clear" w:color="auto" w:fill="FFFFFF" w:themeFill="background1"/>
          </w:tcPr>
          <w:p w:rsidR="00DC1C3C" w:rsidRPr="008B43F6" w:rsidRDefault="00462872" w:rsidP="00C12621">
            <w:pPr>
              <w:spacing w:line="276" w:lineRule="auto"/>
              <w:jc w:val="both"/>
              <w:cnfStyle w:val="000000010000" w:firstRow="0" w:lastRow="0" w:firstColumn="0" w:lastColumn="0" w:oddVBand="0" w:evenVBand="0" w:oddHBand="0" w:evenHBand="1" w:firstRowFirstColumn="0" w:firstRowLastColumn="0" w:lastRowFirstColumn="0" w:lastRowLastColumn="0"/>
              <w:rPr>
                <w:sz w:val="18"/>
                <w:szCs w:val="18"/>
              </w:rPr>
            </w:pPr>
            <w:r w:rsidRPr="008B43F6">
              <w:rPr>
                <w:sz w:val="18"/>
                <w:szCs w:val="18"/>
              </w:rPr>
              <w:t>1,100</w:t>
            </w:r>
          </w:p>
        </w:tc>
        <w:tc>
          <w:tcPr>
            <w:tcW w:w="652" w:type="dxa"/>
            <w:tcBorders>
              <w:left w:val="none" w:sz="0" w:space="0" w:color="auto"/>
              <w:right w:val="none" w:sz="0" w:space="0" w:color="auto"/>
            </w:tcBorders>
            <w:shd w:val="clear" w:color="auto" w:fill="FFFFFF" w:themeFill="background1"/>
          </w:tcPr>
          <w:p w:rsidR="00DC1C3C" w:rsidRPr="008B43F6" w:rsidRDefault="00462872" w:rsidP="00C12621">
            <w:pPr>
              <w:spacing w:line="276" w:lineRule="auto"/>
              <w:jc w:val="both"/>
              <w:cnfStyle w:val="000000010000" w:firstRow="0" w:lastRow="0" w:firstColumn="0" w:lastColumn="0" w:oddVBand="0" w:evenVBand="0" w:oddHBand="0" w:evenHBand="1" w:firstRowFirstColumn="0" w:firstRowLastColumn="0" w:lastRowFirstColumn="0" w:lastRowLastColumn="0"/>
              <w:rPr>
                <w:sz w:val="18"/>
                <w:szCs w:val="18"/>
              </w:rPr>
            </w:pPr>
            <w:r w:rsidRPr="008B43F6">
              <w:rPr>
                <w:sz w:val="18"/>
                <w:szCs w:val="18"/>
              </w:rPr>
              <w:t>20</w:t>
            </w:r>
          </w:p>
        </w:tc>
        <w:tc>
          <w:tcPr>
            <w:tcW w:w="928" w:type="dxa"/>
            <w:tcBorders>
              <w:left w:val="none" w:sz="0" w:space="0" w:color="auto"/>
              <w:right w:val="none" w:sz="0" w:space="0" w:color="auto"/>
            </w:tcBorders>
            <w:shd w:val="clear" w:color="auto" w:fill="FFFFFF" w:themeFill="background1"/>
          </w:tcPr>
          <w:p w:rsidR="00DC1C3C" w:rsidRPr="008B43F6" w:rsidRDefault="00462872" w:rsidP="00C12621">
            <w:pPr>
              <w:spacing w:line="276" w:lineRule="auto"/>
              <w:jc w:val="both"/>
              <w:cnfStyle w:val="000000010000" w:firstRow="0" w:lastRow="0" w:firstColumn="0" w:lastColumn="0" w:oddVBand="0" w:evenVBand="0" w:oddHBand="0" w:evenHBand="1" w:firstRowFirstColumn="0" w:firstRowLastColumn="0" w:lastRowFirstColumn="0" w:lastRowLastColumn="0"/>
              <w:rPr>
                <w:sz w:val="18"/>
                <w:szCs w:val="18"/>
              </w:rPr>
            </w:pPr>
            <w:r w:rsidRPr="008B43F6">
              <w:rPr>
                <w:sz w:val="18"/>
                <w:szCs w:val="18"/>
              </w:rPr>
              <w:t>10</w:t>
            </w:r>
          </w:p>
        </w:tc>
        <w:tc>
          <w:tcPr>
            <w:tcW w:w="997" w:type="dxa"/>
            <w:tcBorders>
              <w:left w:val="none" w:sz="0" w:space="0" w:color="auto"/>
              <w:right w:val="none" w:sz="0" w:space="0" w:color="auto"/>
            </w:tcBorders>
            <w:shd w:val="clear" w:color="auto" w:fill="FFFFFF" w:themeFill="background1"/>
          </w:tcPr>
          <w:p w:rsidR="00DC1C3C" w:rsidRPr="008B43F6" w:rsidRDefault="00462872" w:rsidP="00C12621">
            <w:pPr>
              <w:spacing w:line="276" w:lineRule="auto"/>
              <w:jc w:val="both"/>
              <w:cnfStyle w:val="000000010000" w:firstRow="0" w:lastRow="0" w:firstColumn="0" w:lastColumn="0" w:oddVBand="0" w:evenVBand="0" w:oddHBand="0" w:evenHBand="1" w:firstRowFirstColumn="0" w:firstRowLastColumn="0" w:lastRowFirstColumn="0" w:lastRowLastColumn="0"/>
              <w:rPr>
                <w:sz w:val="18"/>
                <w:szCs w:val="18"/>
              </w:rPr>
            </w:pPr>
            <w:r w:rsidRPr="008B43F6">
              <w:rPr>
                <w:sz w:val="18"/>
                <w:szCs w:val="18"/>
              </w:rPr>
              <w:t>930</w:t>
            </w:r>
          </w:p>
        </w:tc>
        <w:tc>
          <w:tcPr>
            <w:tcW w:w="940" w:type="dxa"/>
            <w:tcBorders>
              <w:left w:val="none" w:sz="0" w:space="0" w:color="auto"/>
              <w:right w:val="none" w:sz="0" w:space="0" w:color="auto"/>
            </w:tcBorders>
            <w:shd w:val="clear" w:color="auto" w:fill="FFFFFF" w:themeFill="background1"/>
          </w:tcPr>
          <w:p w:rsidR="00DC1C3C" w:rsidRPr="008B43F6" w:rsidRDefault="00462872" w:rsidP="00C12621">
            <w:pPr>
              <w:spacing w:line="276" w:lineRule="auto"/>
              <w:jc w:val="both"/>
              <w:cnfStyle w:val="000000010000" w:firstRow="0" w:lastRow="0" w:firstColumn="0" w:lastColumn="0" w:oddVBand="0" w:evenVBand="0" w:oddHBand="0" w:evenHBand="1" w:firstRowFirstColumn="0" w:firstRowLastColumn="0" w:lastRowFirstColumn="0" w:lastRowLastColumn="0"/>
              <w:rPr>
                <w:sz w:val="18"/>
                <w:szCs w:val="18"/>
              </w:rPr>
            </w:pPr>
            <w:r w:rsidRPr="008B43F6">
              <w:rPr>
                <w:sz w:val="18"/>
                <w:szCs w:val="18"/>
              </w:rPr>
              <w:t>70</w:t>
            </w:r>
          </w:p>
        </w:tc>
        <w:tc>
          <w:tcPr>
            <w:tcW w:w="973" w:type="dxa"/>
            <w:tcBorders>
              <w:left w:val="none" w:sz="0" w:space="0" w:color="auto"/>
            </w:tcBorders>
            <w:shd w:val="clear" w:color="auto" w:fill="FFFFFF" w:themeFill="background1"/>
          </w:tcPr>
          <w:p w:rsidR="00DC1C3C" w:rsidRPr="008B43F6" w:rsidRDefault="00462872" w:rsidP="00C12621">
            <w:pPr>
              <w:spacing w:line="276" w:lineRule="auto"/>
              <w:jc w:val="both"/>
              <w:cnfStyle w:val="000000010000" w:firstRow="0" w:lastRow="0" w:firstColumn="0" w:lastColumn="0" w:oddVBand="0" w:evenVBand="0" w:oddHBand="0" w:evenHBand="1" w:firstRowFirstColumn="0" w:firstRowLastColumn="0" w:lastRowFirstColumn="0" w:lastRowLastColumn="0"/>
              <w:rPr>
                <w:sz w:val="18"/>
                <w:szCs w:val="18"/>
              </w:rPr>
            </w:pPr>
            <w:r w:rsidRPr="008B43F6">
              <w:rPr>
                <w:sz w:val="18"/>
                <w:szCs w:val="18"/>
              </w:rPr>
              <w:t>21</w:t>
            </w:r>
          </w:p>
        </w:tc>
      </w:tr>
      <w:tr w:rsidR="00611CBA" w:rsidRPr="008B43F6" w:rsidTr="00611CBA">
        <w:trPr>
          <w:cnfStyle w:val="000000100000" w:firstRow="0" w:lastRow="0" w:firstColumn="0" w:lastColumn="0" w:oddVBand="0" w:evenVBand="0" w:oddHBand="1" w:evenHBand="0" w:firstRowFirstColumn="0" w:firstRowLastColumn="0" w:lastRowFirstColumn="0" w:lastRowLastColumn="0"/>
          <w:trHeight w:val="224"/>
          <w:jc w:val="center"/>
        </w:trPr>
        <w:tc>
          <w:tcPr>
            <w:cnfStyle w:val="001000000000" w:firstRow="0" w:lastRow="0" w:firstColumn="1" w:lastColumn="0" w:oddVBand="0" w:evenVBand="0" w:oddHBand="0" w:evenHBand="0" w:firstRowFirstColumn="0" w:firstRowLastColumn="0" w:lastRowFirstColumn="0" w:lastRowLastColumn="0"/>
            <w:tcW w:w="1227" w:type="dxa"/>
            <w:tcBorders>
              <w:right w:val="none" w:sz="0" w:space="0" w:color="auto"/>
            </w:tcBorders>
            <w:shd w:val="clear" w:color="auto" w:fill="FFFFFF" w:themeFill="background1"/>
          </w:tcPr>
          <w:p w:rsidR="00DC1C3C" w:rsidRPr="008B43F6" w:rsidRDefault="00DC1C3C" w:rsidP="00C12621">
            <w:pPr>
              <w:spacing w:line="276" w:lineRule="auto"/>
              <w:jc w:val="both"/>
              <w:rPr>
                <w:rFonts w:eastAsia="Times New Roman" w:cs="Times New Roman"/>
                <w:sz w:val="18"/>
                <w:szCs w:val="18"/>
                <w:lang w:eastAsia="es-MX"/>
              </w:rPr>
            </w:pPr>
            <w:r w:rsidRPr="008B43F6">
              <w:rPr>
                <w:rFonts w:eastAsia="Times New Roman" w:cs="Times New Roman"/>
                <w:sz w:val="18"/>
                <w:szCs w:val="18"/>
                <w:lang w:eastAsia="es-MX"/>
              </w:rPr>
              <w:t>3</w:t>
            </w:r>
          </w:p>
        </w:tc>
        <w:tc>
          <w:tcPr>
            <w:tcW w:w="1011" w:type="dxa"/>
            <w:tcBorders>
              <w:left w:val="none" w:sz="0" w:space="0" w:color="auto"/>
              <w:right w:val="none" w:sz="0" w:space="0" w:color="auto"/>
            </w:tcBorders>
            <w:shd w:val="clear" w:color="auto" w:fill="FFFFFF" w:themeFill="background1"/>
          </w:tcPr>
          <w:p w:rsidR="00DC1C3C" w:rsidRPr="008B43F6" w:rsidRDefault="00462872" w:rsidP="00C12621">
            <w:pPr>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B43F6">
              <w:rPr>
                <w:sz w:val="18"/>
                <w:szCs w:val="18"/>
              </w:rPr>
              <w:t>2,150</w:t>
            </w:r>
          </w:p>
        </w:tc>
        <w:tc>
          <w:tcPr>
            <w:tcW w:w="652" w:type="dxa"/>
            <w:tcBorders>
              <w:left w:val="none" w:sz="0" w:space="0" w:color="auto"/>
              <w:right w:val="none" w:sz="0" w:space="0" w:color="auto"/>
            </w:tcBorders>
            <w:shd w:val="clear" w:color="auto" w:fill="FFFFFF" w:themeFill="background1"/>
          </w:tcPr>
          <w:p w:rsidR="00DC1C3C" w:rsidRPr="008B43F6" w:rsidRDefault="00462872" w:rsidP="00C12621">
            <w:pPr>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B43F6">
              <w:rPr>
                <w:sz w:val="18"/>
                <w:szCs w:val="18"/>
              </w:rPr>
              <w:t>41</w:t>
            </w:r>
          </w:p>
        </w:tc>
        <w:tc>
          <w:tcPr>
            <w:tcW w:w="928" w:type="dxa"/>
            <w:tcBorders>
              <w:left w:val="none" w:sz="0" w:space="0" w:color="auto"/>
              <w:right w:val="none" w:sz="0" w:space="0" w:color="auto"/>
            </w:tcBorders>
            <w:shd w:val="clear" w:color="auto" w:fill="FFFFFF" w:themeFill="background1"/>
          </w:tcPr>
          <w:p w:rsidR="00DC1C3C" w:rsidRPr="008B43F6" w:rsidRDefault="00462872" w:rsidP="00C12621">
            <w:pPr>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B43F6">
              <w:rPr>
                <w:sz w:val="18"/>
                <w:szCs w:val="18"/>
              </w:rPr>
              <w:t>19</w:t>
            </w:r>
          </w:p>
        </w:tc>
        <w:tc>
          <w:tcPr>
            <w:tcW w:w="997" w:type="dxa"/>
            <w:tcBorders>
              <w:left w:val="none" w:sz="0" w:space="0" w:color="auto"/>
              <w:right w:val="none" w:sz="0" w:space="0" w:color="auto"/>
            </w:tcBorders>
            <w:shd w:val="clear" w:color="auto" w:fill="FFFFFF" w:themeFill="background1"/>
          </w:tcPr>
          <w:p w:rsidR="00DC1C3C" w:rsidRPr="008B43F6" w:rsidRDefault="00462872" w:rsidP="00C12621">
            <w:pPr>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B43F6">
              <w:rPr>
                <w:sz w:val="18"/>
                <w:szCs w:val="18"/>
              </w:rPr>
              <w:t>1,900</w:t>
            </w:r>
          </w:p>
        </w:tc>
        <w:tc>
          <w:tcPr>
            <w:tcW w:w="940" w:type="dxa"/>
            <w:tcBorders>
              <w:left w:val="none" w:sz="0" w:space="0" w:color="auto"/>
              <w:right w:val="none" w:sz="0" w:space="0" w:color="auto"/>
            </w:tcBorders>
            <w:shd w:val="clear" w:color="auto" w:fill="FFFFFF" w:themeFill="background1"/>
          </w:tcPr>
          <w:p w:rsidR="00DC1C3C" w:rsidRPr="008B43F6" w:rsidRDefault="00462872" w:rsidP="00C12621">
            <w:pPr>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B43F6">
              <w:rPr>
                <w:sz w:val="18"/>
                <w:szCs w:val="18"/>
              </w:rPr>
              <w:t>157</w:t>
            </w:r>
          </w:p>
        </w:tc>
        <w:tc>
          <w:tcPr>
            <w:tcW w:w="973" w:type="dxa"/>
            <w:tcBorders>
              <w:left w:val="none" w:sz="0" w:space="0" w:color="auto"/>
            </w:tcBorders>
            <w:shd w:val="clear" w:color="auto" w:fill="FFFFFF" w:themeFill="background1"/>
          </w:tcPr>
          <w:p w:rsidR="00DC1C3C" w:rsidRPr="008B43F6" w:rsidRDefault="00462872" w:rsidP="00C12621">
            <w:pPr>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B43F6">
              <w:rPr>
                <w:sz w:val="18"/>
                <w:szCs w:val="18"/>
              </w:rPr>
              <w:t>43</w:t>
            </w:r>
          </w:p>
        </w:tc>
      </w:tr>
    </w:tbl>
    <w:p w:rsidR="00DC1C3C" w:rsidRPr="008B43F6" w:rsidRDefault="00DC1C3C" w:rsidP="00C12621">
      <w:pPr>
        <w:jc w:val="both"/>
        <w:rPr>
          <w:b/>
        </w:rPr>
      </w:pPr>
    </w:p>
    <w:p w:rsidR="00606D3C" w:rsidRPr="008B43F6" w:rsidRDefault="00606D3C" w:rsidP="00C12621">
      <w:pPr>
        <w:jc w:val="both"/>
        <w:rPr>
          <w:b/>
          <w:color w:val="1F497D" w:themeColor="text2"/>
        </w:rPr>
      </w:pPr>
    </w:p>
    <w:p w:rsidR="00660CFE" w:rsidRPr="008B43F6" w:rsidRDefault="00027D3B" w:rsidP="00C12621">
      <w:pPr>
        <w:pStyle w:val="Ttulo3"/>
        <w:jc w:val="both"/>
        <w:rPr>
          <w:rFonts w:asciiTheme="minorHAnsi" w:hAnsiTheme="minorHAnsi"/>
        </w:rPr>
      </w:pPr>
      <w:bookmarkStart w:id="90" w:name="_Toc350874991"/>
      <w:bookmarkStart w:id="91" w:name="_Toc351397603"/>
      <w:r w:rsidRPr="008B43F6">
        <w:rPr>
          <w:rFonts w:asciiTheme="minorHAnsi" w:hAnsiTheme="minorHAnsi"/>
        </w:rPr>
        <w:t xml:space="preserve">6.4 </w:t>
      </w:r>
      <w:r w:rsidR="00660CFE" w:rsidRPr="008B43F6">
        <w:rPr>
          <w:rFonts w:asciiTheme="minorHAnsi" w:hAnsiTheme="minorHAnsi"/>
        </w:rPr>
        <w:t>Actividad económica</w:t>
      </w:r>
      <w:bookmarkEnd w:id="90"/>
      <w:bookmarkEnd w:id="91"/>
    </w:p>
    <w:p w:rsidR="0072172C" w:rsidRPr="008B43F6" w:rsidRDefault="0072172C" w:rsidP="00C12621">
      <w:pPr>
        <w:jc w:val="both"/>
      </w:pPr>
      <w:r w:rsidRPr="008B43F6">
        <w:t xml:space="preserve">Desde una perspectiva económica, se estima que un programa tendría (Tabla </w:t>
      </w:r>
      <w:r w:rsidR="00E75797" w:rsidRPr="008B43F6">
        <w:t>6.7</w:t>
      </w:r>
      <w:r w:rsidRPr="008B43F6">
        <w:t>):</w:t>
      </w:r>
    </w:p>
    <w:p w:rsidR="0072172C" w:rsidRPr="008B43F6" w:rsidRDefault="0072172C" w:rsidP="00C12621">
      <w:pPr>
        <w:pStyle w:val="Prrafodelista"/>
        <w:numPr>
          <w:ilvl w:val="0"/>
          <w:numId w:val="12"/>
        </w:numPr>
        <w:jc w:val="both"/>
      </w:pPr>
      <w:r w:rsidRPr="008B43F6">
        <w:t>Una derrama económica, por la compra e ins</w:t>
      </w:r>
      <w:r w:rsidR="00A92707" w:rsidRPr="008B43F6">
        <w:t xml:space="preserve">talación de equipos eficientes y aislamiento térmico, </w:t>
      </w:r>
      <w:r w:rsidRPr="008B43F6">
        <w:t xml:space="preserve">desde </w:t>
      </w:r>
      <w:r w:rsidR="004B78EE" w:rsidRPr="008B43F6">
        <w:t xml:space="preserve">casi 17 </w:t>
      </w:r>
      <w:r w:rsidR="00817EA0" w:rsidRPr="008B43F6">
        <w:t xml:space="preserve">mil </w:t>
      </w:r>
      <w:r w:rsidR="004B78EE" w:rsidRPr="008B43F6">
        <w:t xml:space="preserve">millones de pesos  por la aplicación completa (en los 6 años) </w:t>
      </w:r>
      <w:r w:rsidR="00611CBA" w:rsidRPr="008B43F6">
        <w:t>en el Escenario 1</w:t>
      </w:r>
      <w:r w:rsidR="004B78EE" w:rsidRPr="008B43F6">
        <w:t xml:space="preserve"> y hasta poco más de 50 mil millones de pesos </w:t>
      </w:r>
      <w:r w:rsidR="00611CBA" w:rsidRPr="008B43F6">
        <w:t>en el Escenario 3</w:t>
      </w:r>
      <w:r w:rsidR="004B78EE" w:rsidRPr="008B43F6">
        <w:t>.</w:t>
      </w:r>
    </w:p>
    <w:p w:rsidR="00251C87" w:rsidRPr="003C4961" w:rsidRDefault="00251C87" w:rsidP="00C12621">
      <w:pPr>
        <w:shd w:val="clear" w:color="auto" w:fill="FFFFFF" w:themeFill="background1"/>
        <w:spacing w:after="0"/>
        <w:jc w:val="both"/>
        <w:rPr>
          <w:sz w:val="18"/>
          <w:szCs w:val="18"/>
        </w:rPr>
      </w:pPr>
      <w:r w:rsidRPr="003C4961">
        <w:rPr>
          <w:b/>
          <w:sz w:val="18"/>
          <w:szCs w:val="18"/>
        </w:rPr>
        <w:t xml:space="preserve">Tabla 6.7 </w:t>
      </w:r>
      <w:r w:rsidRPr="003C4961">
        <w:rPr>
          <w:sz w:val="18"/>
          <w:szCs w:val="18"/>
        </w:rPr>
        <w:t>Impacto económico del programa de vivienda sustentable por inversión e instalación de equipos y aplicación de aislantes térmicos en México.</w:t>
      </w:r>
    </w:p>
    <w:tbl>
      <w:tblPr>
        <w:tblStyle w:val="Tablaconcuadrcula"/>
        <w:tblW w:w="0" w:type="auto"/>
        <w:tblInd w:w="209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59"/>
        <w:gridCol w:w="3260"/>
      </w:tblGrid>
      <w:tr w:rsidR="00251C87" w:rsidRPr="003C4961" w:rsidTr="00251C87">
        <w:tc>
          <w:tcPr>
            <w:tcW w:w="1559" w:type="dxa"/>
            <w:shd w:val="clear" w:color="auto" w:fill="4F81BD" w:themeFill="accent1"/>
          </w:tcPr>
          <w:p w:rsidR="00251C87" w:rsidRPr="003C4961" w:rsidRDefault="00251C87" w:rsidP="00C12621">
            <w:pPr>
              <w:jc w:val="both"/>
              <w:rPr>
                <w:b/>
                <w:color w:val="FFFFFF" w:themeColor="background1"/>
                <w:sz w:val="18"/>
                <w:szCs w:val="18"/>
              </w:rPr>
            </w:pPr>
            <w:r w:rsidRPr="003C4961">
              <w:rPr>
                <w:b/>
                <w:color w:val="FFFFFF" w:themeColor="background1"/>
                <w:sz w:val="18"/>
                <w:szCs w:val="18"/>
              </w:rPr>
              <w:t>Escenario</w:t>
            </w:r>
          </w:p>
        </w:tc>
        <w:tc>
          <w:tcPr>
            <w:tcW w:w="3260" w:type="dxa"/>
            <w:shd w:val="clear" w:color="auto" w:fill="4F81BD" w:themeFill="accent1"/>
          </w:tcPr>
          <w:p w:rsidR="00251C87" w:rsidRPr="003C4961" w:rsidRDefault="00251C87" w:rsidP="00C12621">
            <w:pPr>
              <w:jc w:val="both"/>
              <w:rPr>
                <w:b/>
                <w:color w:val="FFFFFF" w:themeColor="background1"/>
                <w:sz w:val="18"/>
                <w:szCs w:val="18"/>
              </w:rPr>
            </w:pPr>
            <w:r w:rsidRPr="003C4961">
              <w:rPr>
                <w:b/>
                <w:color w:val="FFFFFF" w:themeColor="background1"/>
                <w:sz w:val="18"/>
                <w:szCs w:val="18"/>
              </w:rPr>
              <w:t>Inversión diferencial</w:t>
            </w:r>
          </w:p>
          <w:p w:rsidR="00251C87" w:rsidRPr="003C4961" w:rsidRDefault="00251C87" w:rsidP="00C12621">
            <w:pPr>
              <w:jc w:val="both"/>
              <w:rPr>
                <w:b/>
                <w:color w:val="FFFFFF" w:themeColor="background1"/>
                <w:sz w:val="18"/>
                <w:szCs w:val="18"/>
              </w:rPr>
            </w:pPr>
            <w:r w:rsidRPr="003C4961">
              <w:rPr>
                <w:b/>
                <w:color w:val="FFFFFF" w:themeColor="background1"/>
                <w:sz w:val="18"/>
                <w:szCs w:val="18"/>
              </w:rPr>
              <w:t>(Millones de pesos)</w:t>
            </w:r>
          </w:p>
        </w:tc>
      </w:tr>
      <w:tr w:rsidR="00251C87" w:rsidRPr="003C4961" w:rsidTr="00251C87">
        <w:tc>
          <w:tcPr>
            <w:tcW w:w="1559" w:type="dxa"/>
          </w:tcPr>
          <w:p w:rsidR="00251C87" w:rsidRPr="003C4961" w:rsidRDefault="00251C87" w:rsidP="00C12621">
            <w:pPr>
              <w:shd w:val="clear" w:color="auto" w:fill="FFFFFF" w:themeFill="background1"/>
              <w:ind w:left="371"/>
              <w:jc w:val="both"/>
              <w:rPr>
                <w:rFonts w:eastAsia="Times New Roman" w:cs="Times New Roman"/>
                <w:sz w:val="18"/>
                <w:szCs w:val="18"/>
                <w:lang w:eastAsia="es-MX"/>
              </w:rPr>
            </w:pPr>
            <w:r w:rsidRPr="003C4961">
              <w:rPr>
                <w:rFonts w:eastAsia="Times New Roman" w:cs="Times New Roman"/>
                <w:sz w:val="18"/>
                <w:szCs w:val="18"/>
                <w:lang w:eastAsia="es-MX"/>
              </w:rPr>
              <w:t>1</w:t>
            </w:r>
          </w:p>
        </w:tc>
        <w:tc>
          <w:tcPr>
            <w:tcW w:w="3260" w:type="dxa"/>
          </w:tcPr>
          <w:p w:rsidR="00251C87" w:rsidRPr="003C4961" w:rsidRDefault="00251C87" w:rsidP="00C12621">
            <w:pPr>
              <w:shd w:val="clear" w:color="auto" w:fill="FFFFFF" w:themeFill="background1"/>
              <w:jc w:val="both"/>
              <w:rPr>
                <w:sz w:val="18"/>
                <w:szCs w:val="18"/>
              </w:rPr>
            </w:pPr>
            <w:r w:rsidRPr="003C4961">
              <w:rPr>
                <w:rFonts w:cs="Arial"/>
                <w:sz w:val="18"/>
                <w:szCs w:val="18"/>
              </w:rPr>
              <w:t>16,738</w:t>
            </w:r>
          </w:p>
        </w:tc>
      </w:tr>
      <w:tr w:rsidR="00251C87" w:rsidRPr="003C4961" w:rsidTr="00251C87">
        <w:tc>
          <w:tcPr>
            <w:tcW w:w="1559" w:type="dxa"/>
          </w:tcPr>
          <w:p w:rsidR="00251C87" w:rsidRPr="003C4961" w:rsidRDefault="00251C87" w:rsidP="00C12621">
            <w:pPr>
              <w:shd w:val="clear" w:color="auto" w:fill="FFFFFF" w:themeFill="background1"/>
              <w:ind w:left="371"/>
              <w:jc w:val="both"/>
              <w:rPr>
                <w:rFonts w:eastAsia="Times New Roman" w:cs="Times New Roman"/>
                <w:sz w:val="18"/>
                <w:szCs w:val="18"/>
                <w:lang w:eastAsia="es-MX"/>
              </w:rPr>
            </w:pPr>
            <w:r w:rsidRPr="003C4961">
              <w:rPr>
                <w:rFonts w:eastAsia="Times New Roman" w:cs="Times New Roman"/>
                <w:sz w:val="18"/>
                <w:szCs w:val="18"/>
                <w:lang w:eastAsia="es-MX"/>
              </w:rPr>
              <w:t xml:space="preserve">2 </w:t>
            </w:r>
          </w:p>
        </w:tc>
        <w:tc>
          <w:tcPr>
            <w:tcW w:w="3260" w:type="dxa"/>
          </w:tcPr>
          <w:p w:rsidR="00251C87" w:rsidRPr="003C4961" w:rsidRDefault="00251C87" w:rsidP="00C12621">
            <w:pPr>
              <w:shd w:val="clear" w:color="auto" w:fill="FFFFFF" w:themeFill="background1"/>
              <w:jc w:val="both"/>
              <w:rPr>
                <w:sz w:val="18"/>
                <w:szCs w:val="18"/>
              </w:rPr>
            </w:pPr>
            <w:r w:rsidRPr="003C4961">
              <w:rPr>
                <w:rFonts w:cs="Arial"/>
                <w:sz w:val="18"/>
                <w:szCs w:val="18"/>
              </w:rPr>
              <w:t>25,107</w:t>
            </w:r>
          </w:p>
        </w:tc>
      </w:tr>
      <w:tr w:rsidR="00251C87" w:rsidRPr="003C4961" w:rsidTr="00251C87">
        <w:tc>
          <w:tcPr>
            <w:tcW w:w="1559" w:type="dxa"/>
          </w:tcPr>
          <w:p w:rsidR="00251C87" w:rsidRPr="003C4961" w:rsidRDefault="00251C87" w:rsidP="00C12621">
            <w:pPr>
              <w:shd w:val="clear" w:color="auto" w:fill="FFFFFF" w:themeFill="background1"/>
              <w:ind w:left="371"/>
              <w:jc w:val="both"/>
              <w:rPr>
                <w:rFonts w:eastAsia="Times New Roman" w:cs="Times New Roman"/>
                <w:sz w:val="18"/>
                <w:szCs w:val="18"/>
                <w:lang w:eastAsia="es-MX"/>
              </w:rPr>
            </w:pPr>
            <w:r w:rsidRPr="003C4961">
              <w:rPr>
                <w:rFonts w:eastAsia="Times New Roman" w:cs="Times New Roman"/>
                <w:sz w:val="18"/>
                <w:szCs w:val="18"/>
                <w:lang w:eastAsia="es-MX"/>
              </w:rPr>
              <w:t>3</w:t>
            </w:r>
          </w:p>
        </w:tc>
        <w:tc>
          <w:tcPr>
            <w:tcW w:w="3260" w:type="dxa"/>
          </w:tcPr>
          <w:p w:rsidR="00251C87" w:rsidRPr="003C4961" w:rsidRDefault="00251C87" w:rsidP="00C12621">
            <w:pPr>
              <w:shd w:val="clear" w:color="auto" w:fill="FFFFFF" w:themeFill="background1"/>
              <w:jc w:val="both"/>
              <w:rPr>
                <w:sz w:val="18"/>
                <w:szCs w:val="18"/>
              </w:rPr>
            </w:pPr>
            <w:r w:rsidRPr="003C4961">
              <w:rPr>
                <w:rFonts w:cs="Arial"/>
                <w:sz w:val="18"/>
                <w:szCs w:val="18"/>
              </w:rPr>
              <w:t>50,214</w:t>
            </w:r>
          </w:p>
        </w:tc>
      </w:tr>
    </w:tbl>
    <w:p w:rsidR="00251C87" w:rsidRPr="003C4961" w:rsidRDefault="00251C87" w:rsidP="00C12621">
      <w:pPr>
        <w:shd w:val="clear" w:color="auto" w:fill="FFFFFF" w:themeFill="background1"/>
        <w:jc w:val="both"/>
        <w:rPr>
          <w:color w:val="1F497D" w:themeColor="text2"/>
          <w:sz w:val="18"/>
          <w:szCs w:val="18"/>
        </w:rPr>
      </w:pPr>
    </w:p>
    <w:p w:rsidR="00251C87" w:rsidRPr="003C4961" w:rsidRDefault="00251C87" w:rsidP="00C12621">
      <w:pPr>
        <w:pStyle w:val="Prrafodelista"/>
        <w:numPr>
          <w:ilvl w:val="0"/>
          <w:numId w:val="12"/>
        </w:numPr>
        <w:jc w:val="both"/>
      </w:pPr>
      <w:r w:rsidRPr="003C4961">
        <w:t xml:space="preserve">La creación de empleos por la implementación en los 6 años del programa, que va desde </w:t>
      </w:r>
      <w:r>
        <w:t>cerca de 4 mil</w:t>
      </w:r>
      <w:r w:rsidRPr="003C4961">
        <w:t xml:space="preserve"> para  el Escenario 1 hasta </w:t>
      </w:r>
      <w:r>
        <w:t>cerca de 2</w:t>
      </w:r>
      <w:r w:rsidRPr="003C4961">
        <w:t>0,000 para el Escenario 3</w:t>
      </w:r>
      <w:r>
        <w:t xml:space="preserve"> </w:t>
      </w:r>
      <w:r w:rsidRPr="003C4961">
        <w:t xml:space="preserve">(Tabla </w:t>
      </w:r>
      <w:r>
        <w:t>6.8</w:t>
      </w:r>
      <w:r w:rsidRPr="003C4961">
        <w:t>)</w:t>
      </w:r>
    </w:p>
    <w:p w:rsidR="00251C87" w:rsidRPr="001E50B9" w:rsidRDefault="00251C87" w:rsidP="00C12621">
      <w:pPr>
        <w:shd w:val="clear" w:color="auto" w:fill="FFFFFF" w:themeFill="background1"/>
        <w:spacing w:after="0"/>
        <w:jc w:val="both"/>
        <w:rPr>
          <w:sz w:val="18"/>
          <w:szCs w:val="18"/>
        </w:rPr>
      </w:pPr>
      <w:r w:rsidRPr="003C4961">
        <w:rPr>
          <w:b/>
          <w:sz w:val="18"/>
          <w:szCs w:val="18"/>
        </w:rPr>
        <w:t xml:space="preserve">Tabla </w:t>
      </w:r>
      <w:r>
        <w:rPr>
          <w:b/>
          <w:sz w:val="18"/>
          <w:szCs w:val="18"/>
        </w:rPr>
        <w:t>6.8</w:t>
      </w:r>
      <w:r w:rsidRPr="003C4961">
        <w:rPr>
          <w:b/>
          <w:sz w:val="18"/>
          <w:szCs w:val="18"/>
        </w:rPr>
        <w:t xml:space="preserve"> </w:t>
      </w:r>
      <w:r w:rsidRPr="003C4961">
        <w:rPr>
          <w:sz w:val="18"/>
          <w:szCs w:val="18"/>
        </w:rPr>
        <w:t xml:space="preserve">Impacto </w:t>
      </w:r>
      <w:r>
        <w:rPr>
          <w:sz w:val="18"/>
          <w:szCs w:val="18"/>
        </w:rPr>
        <w:t>en empleo</w:t>
      </w:r>
      <w:r w:rsidRPr="003C4961">
        <w:rPr>
          <w:sz w:val="18"/>
          <w:szCs w:val="18"/>
        </w:rPr>
        <w:t xml:space="preserve"> del programa de vivienda sustentable por inversión e instalación de equipos y aplicación d</w:t>
      </w:r>
      <w:r>
        <w:rPr>
          <w:sz w:val="18"/>
          <w:szCs w:val="18"/>
        </w:rPr>
        <w:t>e aislantes térmicos en México.</w:t>
      </w:r>
    </w:p>
    <w:tbl>
      <w:tblPr>
        <w:tblStyle w:val="Tablaconcuadrcula"/>
        <w:tblW w:w="7094" w:type="dxa"/>
        <w:tblInd w:w="5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2"/>
        <w:gridCol w:w="1382"/>
        <w:gridCol w:w="1551"/>
        <w:gridCol w:w="1605"/>
        <w:gridCol w:w="1624"/>
      </w:tblGrid>
      <w:tr w:rsidR="00251C87" w:rsidRPr="003C4961" w:rsidTr="00251C87">
        <w:tc>
          <w:tcPr>
            <w:tcW w:w="651" w:type="dxa"/>
            <w:vMerge w:val="restart"/>
            <w:shd w:val="clear" w:color="auto" w:fill="4F81BD" w:themeFill="accent1"/>
          </w:tcPr>
          <w:p w:rsidR="00251C87" w:rsidRPr="003C4961" w:rsidRDefault="00251C87" w:rsidP="00C12621">
            <w:pPr>
              <w:jc w:val="both"/>
              <w:rPr>
                <w:b/>
                <w:color w:val="FFFFFF" w:themeColor="background1"/>
                <w:sz w:val="18"/>
                <w:szCs w:val="18"/>
              </w:rPr>
            </w:pPr>
            <w:r w:rsidRPr="003C4961">
              <w:rPr>
                <w:b/>
                <w:color w:val="FFFFFF" w:themeColor="background1"/>
                <w:sz w:val="18"/>
                <w:szCs w:val="18"/>
              </w:rPr>
              <w:t>Escenario</w:t>
            </w:r>
          </w:p>
        </w:tc>
        <w:tc>
          <w:tcPr>
            <w:tcW w:w="1446" w:type="dxa"/>
            <w:vMerge w:val="restart"/>
            <w:shd w:val="clear" w:color="auto" w:fill="4F81BD" w:themeFill="accent1"/>
          </w:tcPr>
          <w:p w:rsidR="00251C87" w:rsidRDefault="00251C87" w:rsidP="00C12621">
            <w:pPr>
              <w:jc w:val="both"/>
              <w:rPr>
                <w:b/>
                <w:color w:val="FFFFFF" w:themeColor="background1"/>
                <w:sz w:val="18"/>
                <w:szCs w:val="18"/>
              </w:rPr>
            </w:pPr>
            <w:r>
              <w:rPr>
                <w:b/>
                <w:color w:val="FFFFFF" w:themeColor="background1"/>
                <w:sz w:val="18"/>
                <w:szCs w:val="18"/>
              </w:rPr>
              <w:t>Casas promedio por año</w:t>
            </w:r>
          </w:p>
          <w:p w:rsidR="00251C87" w:rsidRDefault="00251C87" w:rsidP="00C12621">
            <w:pPr>
              <w:jc w:val="both"/>
              <w:rPr>
                <w:b/>
                <w:color w:val="FFFFFF" w:themeColor="background1"/>
                <w:sz w:val="18"/>
                <w:szCs w:val="18"/>
              </w:rPr>
            </w:pPr>
            <w:r>
              <w:rPr>
                <w:b/>
                <w:color w:val="FFFFFF" w:themeColor="background1"/>
                <w:sz w:val="18"/>
                <w:szCs w:val="18"/>
              </w:rPr>
              <w:t>(Miles)</w:t>
            </w:r>
          </w:p>
        </w:tc>
        <w:tc>
          <w:tcPr>
            <w:tcW w:w="4997" w:type="dxa"/>
            <w:gridSpan w:val="3"/>
            <w:shd w:val="clear" w:color="auto" w:fill="4F81BD" w:themeFill="accent1"/>
          </w:tcPr>
          <w:p w:rsidR="00251C87" w:rsidRPr="003C4961" w:rsidRDefault="00251C87" w:rsidP="00C12621">
            <w:pPr>
              <w:jc w:val="both"/>
              <w:rPr>
                <w:b/>
                <w:color w:val="FFFFFF" w:themeColor="background1"/>
                <w:sz w:val="18"/>
                <w:szCs w:val="18"/>
              </w:rPr>
            </w:pPr>
            <w:r w:rsidRPr="003C4961">
              <w:rPr>
                <w:b/>
                <w:color w:val="FFFFFF" w:themeColor="background1"/>
                <w:sz w:val="18"/>
                <w:szCs w:val="18"/>
              </w:rPr>
              <w:t>Empleos creados</w:t>
            </w:r>
          </w:p>
        </w:tc>
      </w:tr>
      <w:tr w:rsidR="00251C87" w:rsidRPr="003C4961" w:rsidTr="00251C87">
        <w:tc>
          <w:tcPr>
            <w:tcW w:w="651" w:type="dxa"/>
            <w:vMerge/>
            <w:shd w:val="clear" w:color="auto" w:fill="4F81BD" w:themeFill="accent1"/>
          </w:tcPr>
          <w:p w:rsidR="00251C87" w:rsidRPr="003C4961" w:rsidRDefault="00251C87" w:rsidP="00C12621">
            <w:pPr>
              <w:jc w:val="both"/>
              <w:rPr>
                <w:b/>
                <w:color w:val="FFFFFF" w:themeColor="background1"/>
                <w:sz w:val="18"/>
                <w:szCs w:val="18"/>
              </w:rPr>
            </w:pPr>
          </w:p>
        </w:tc>
        <w:tc>
          <w:tcPr>
            <w:tcW w:w="1446" w:type="dxa"/>
            <w:vMerge/>
            <w:shd w:val="clear" w:color="auto" w:fill="4F81BD" w:themeFill="accent1"/>
          </w:tcPr>
          <w:p w:rsidR="00251C87" w:rsidRPr="003C4961" w:rsidRDefault="00251C87" w:rsidP="00C12621">
            <w:pPr>
              <w:jc w:val="both"/>
              <w:rPr>
                <w:b/>
                <w:color w:val="FFFFFF" w:themeColor="background1"/>
                <w:sz w:val="18"/>
                <w:szCs w:val="18"/>
              </w:rPr>
            </w:pPr>
          </w:p>
        </w:tc>
        <w:tc>
          <w:tcPr>
            <w:tcW w:w="1604" w:type="dxa"/>
            <w:shd w:val="clear" w:color="auto" w:fill="4F81BD" w:themeFill="accent1"/>
          </w:tcPr>
          <w:p w:rsidR="00251C87" w:rsidRPr="003C4961" w:rsidRDefault="00251C87" w:rsidP="00C12621">
            <w:pPr>
              <w:jc w:val="both"/>
              <w:rPr>
                <w:b/>
                <w:color w:val="FFFFFF" w:themeColor="background1"/>
                <w:sz w:val="18"/>
                <w:szCs w:val="18"/>
              </w:rPr>
            </w:pPr>
            <w:r>
              <w:rPr>
                <w:b/>
                <w:color w:val="FFFFFF" w:themeColor="background1"/>
                <w:sz w:val="18"/>
                <w:szCs w:val="18"/>
              </w:rPr>
              <w:t>M</w:t>
            </w:r>
            <w:r w:rsidRPr="003C4961">
              <w:rPr>
                <w:b/>
                <w:color w:val="FFFFFF" w:themeColor="background1"/>
                <w:sz w:val="18"/>
                <w:szCs w:val="18"/>
              </w:rPr>
              <w:t>anufactura de equipos</w:t>
            </w:r>
          </w:p>
        </w:tc>
        <w:tc>
          <w:tcPr>
            <w:tcW w:w="1690" w:type="dxa"/>
            <w:shd w:val="clear" w:color="auto" w:fill="4F81BD" w:themeFill="accent1"/>
          </w:tcPr>
          <w:p w:rsidR="00251C87" w:rsidRPr="003C4961" w:rsidRDefault="00251C87" w:rsidP="00C12621">
            <w:pPr>
              <w:jc w:val="both"/>
              <w:rPr>
                <w:b/>
                <w:color w:val="FFFFFF" w:themeColor="background1"/>
                <w:sz w:val="18"/>
                <w:szCs w:val="18"/>
              </w:rPr>
            </w:pPr>
            <w:r>
              <w:rPr>
                <w:b/>
                <w:color w:val="FFFFFF" w:themeColor="background1"/>
                <w:sz w:val="18"/>
                <w:szCs w:val="18"/>
              </w:rPr>
              <w:t>I</w:t>
            </w:r>
            <w:r w:rsidRPr="003C4961">
              <w:rPr>
                <w:b/>
                <w:color w:val="FFFFFF" w:themeColor="background1"/>
                <w:sz w:val="18"/>
                <w:szCs w:val="18"/>
              </w:rPr>
              <w:t>nstalación de colectores solares</w:t>
            </w:r>
          </w:p>
        </w:tc>
        <w:tc>
          <w:tcPr>
            <w:tcW w:w="1703" w:type="dxa"/>
            <w:shd w:val="clear" w:color="auto" w:fill="4F81BD" w:themeFill="accent1"/>
          </w:tcPr>
          <w:p w:rsidR="00251C87" w:rsidRPr="003C4961" w:rsidRDefault="00251C87" w:rsidP="00C12621">
            <w:pPr>
              <w:jc w:val="both"/>
              <w:rPr>
                <w:b/>
                <w:color w:val="FFFFFF" w:themeColor="background1"/>
                <w:sz w:val="18"/>
                <w:szCs w:val="18"/>
              </w:rPr>
            </w:pPr>
            <w:r>
              <w:rPr>
                <w:b/>
                <w:color w:val="FFFFFF" w:themeColor="background1"/>
                <w:sz w:val="18"/>
                <w:szCs w:val="18"/>
              </w:rPr>
              <w:t>I</w:t>
            </w:r>
            <w:r w:rsidRPr="003C4961">
              <w:rPr>
                <w:b/>
                <w:color w:val="FFFFFF" w:themeColor="background1"/>
                <w:sz w:val="18"/>
                <w:szCs w:val="18"/>
              </w:rPr>
              <w:t>nstalación de aislamiento térmico</w:t>
            </w:r>
          </w:p>
        </w:tc>
      </w:tr>
      <w:tr w:rsidR="00251C87" w:rsidRPr="003C4961" w:rsidTr="00251C87">
        <w:tc>
          <w:tcPr>
            <w:tcW w:w="651" w:type="dxa"/>
          </w:tcPr>
          <w:p w:rsidR="00251C87" w:rsidRPr="003C4961" w:rsidRDefault="00251C87" w:rsidP="00C12621">
            <w:pPr>
              <w:shd w:val="clear" w:color="auto" w:fill="FFFFFF" w:themeFill="background1"/>
              <w:ind w:left="371"/>
              <w:jc w:val="both"/>
              <w:rPr>
                <w:rFonts w:eastAsia="Times New Roman" w:cs="Times New Roman"/>
                <w:sz w:val="18"/>
                <w:szCs w:val="18"/>
                <w:lang w:eastAsia="es-MX"/>
              </w:rPr>
            </w:pPr>
            <w:r w:rsidRPr="003C4961">
              <w:rPr>
                <w:rFonts w:eastAsia="Times New Roman" w:cs="Times New Roman"/>
                <w:sz w:val="18"/>
                <w:szCs w:val="18"/>
                <w:lang w:eastAsia="es-MX"/>
              </w:rPr>
              <w:t>1</w:t>
            </w:r>
          </w:p>
        </w:tc>
        <w:tc>
          <w:tcPr>
            <w:tcW w:w="1446" w:type="dxa"/>
          </w:tcPr>
          <w:p w:rsidR="00251C87" w:rsidRPr="003C4961" w:rsidRDefault="00251C87" w:rsidP="00C12621">
            <w:pPr>
              <w:shd w:val="clear" w:color="auto" w:fill="FFFFFF" w:themeFill="background1"/>
              <w:jc w:val="both"/>
              <w:rPr>
                <w:rFonts w:cs="Arial"/>
                <w:sz w:val="18"/>
                <w:szCs w:val="18"/>
              </w:rPr>
            </w:pPr>
            <w:r>
              <w:rPr>
                <w:rFonts w:cs="Arial"/>
                <w:sz w:val="18"/>
                <w:szCs w:val="18"/>
              </w:rPr>
              <w:t>167</w:t>
            </w:r>
          </w:p>
        </w:tc>
        <w:tc>
          <w:tcPr>
            <w:tcW w:w="1604" w:type="dxa"/>
            <w:vAlign w:val="center"/>
          </w:tcPr>
          <w:p w:rsidR="00251C87" w:rsidRDefault="00251C87" w:rsidP="00C12621">
            <w:pPr>
              <w:jc w:val="both"/>
              <w:rPr>
                <w:rFonts w:ascii="Calibri" w:hAnsi="Calibri"/>
                <w:color w:val="000000"/>
                <w:sz w:val="18"/>
                <w:szCs w:val="18"/>
              </w:rPr>
            </w:pPr>
            <w:r>
              <w:rPr>
                <w:rFonts w:ascii="Calibri" w:hAnsi="Calibri" w:cs="Arial"/>
                <w:color w:val="000000"/>
                <w:sz w:val="18"/>
                <w:szCs w:val="18"/>
              </w:rPr>
              <w:t>668</w:t>
            </w:r>
          </w:p>
        </w:tc>
        <w:tc>
          <w:tcPr>
            <w:tcW w:w="1690" w:type="dxa"/>
            <w:vAlign w:val="center"/>
          </w:tcPr>
          <w:p w:rsidR="00251C87" w:rsidRDefault="00251C87" w:rsidP="00C12621">
            <w:pPr>
              <w:jc w:val="both"/>
              <w:rPr>
                <w:rFonts w:ascii="Calibri" w:hAnsi="Calibri"/>
                <w:color w:val="000000"/>
                <w:sz w:val="18"/>
                <w:szCs w:val="18"/>
              </w:rPr>
            </w:pPr>
            <w:r>
              <w:rPr>
                <w:rFonts w:ascii="Calibri" w:hAnsi="Calibri" w:cs="Arial"/>
                <w:color w:val="000000"/>
                <w:sz w:val="18"/>
                <w:szCs w:val="18"/>
              </w:rPr>
              <w:t>1,336</w:t>
            </w:r>
          </w:p>
        </w:tc>
        <w:tc>
          <w:tcPr>
            <w:tcW w:w="1703" w:type="dxa"/>
            <w:vAlign w:val="center"/>
          </w:tcPr>
          <w:p w:rsidR="00251C87" w:rsidRDefault="00251C87" w:rsidP="00C12621">
            <w:pPr>
              <w:jc w:val="both"/>
              <w:rPr>
                <w:rFonts w:ascii="Calibri" w:hAnsi="Calibri"/>
                <w:color w:val="000000"/>
                <w:sz w:val="18"/>
                <w:szCs w:val="18"/>
              </w:rPr>
            </w:pPr>
            <w:r>
              <w:rPr>
                <w:rFonts w:ascii="Calibri" w:hAnsi="Calibri"/>
                <w:color w:val="000000"/>
                <w:sz w:val="18"/>
                <w:szCs w:val="18"/>
              </w:rPr>
              <w:t>3,674</w:t>
            </w:r>
          </w:p>
        </w:tc>
      </w:tr>
      <w:tr w:rsidR="00251C87" w:rsidRPr="003C4961" w:rsidTr="00251C87">
        <w:tc>
          <w:tcPr>
            <w:tcW w:w="651" w:type="dxa"/>
          </w:tcPr>
          <w:p w:rsidR="00251C87" w:rsidRPr="003C4961" w:rsidRDefault="00251C87" w:rsidP="00C12621">
            <w:pPr>
              <w:shd w:val="clear" w:color="auto" w:fill="FFFFFF" w:themeFill="background1"/>
              <w:ind w:left="371"/>
              <w:jc w:val="both"/>
              <w:rPr>
                <w:rFonts w:eastAsia="Times New Roman" w:cs="Times New Roman"/>
                <w:sz w:val="18"/>
                <w:szCs w:val="18"/>
                <w:lang w:eastAsia="es-MX"/>
              </w:rPr>
            </w:pPr>
            <w:r w:rsidRPr="003C4961">
              <w:rPr>
                <w:rFonts w:eastAsia="Times New Roman" w:cs="Times New Roman"/>
                <w:sz w:val="18"/>
                <w:szCs w:val="18"/>
                <w:lang w:eastAsia="es-MX"/>
              </w:rPr>
              <w:t xml:space="preserve">2 </w:t>
            </w:r>
          </w:p>
        </w:tc>
        <w:tc>
          <w:tcPr>
            <w:tcW w:w="1446" w:type="dxa"/>
          </w:tcPr>
          <w:p w:rsidR="00251C87" w:rsidRPr="003C4961" w:rsidRDefault="00251C87" w:rsidP="00C12621">
            <w:pPr>
              <w:shd w:val="clear" w:color="auto" w:fill="FFFFFF" w:themeFill="background1"/>
              <w:jc w:val="both"/>
              <w:rPr>
                <w:rFonts w:cs="Arial"/>
                <w:sz w:val="18"/>
                <w:szCs w:val="18"/>
              </w:rPr>
            </w:pPr>
            <w:r>
              <w:rPr>
                <w:rFonts w:cs="Arial"/>
                <w:sz w:val="18"/>
                <w:szCs w:val="18"/>
              </w:rPr>
              <w:t>250</w:t>
            </w:r>
          </w:p>
        </w:tc>
        <w:tc>
          <w:tcPr>
            <w:tcW w:w="1604" w:type="dxa"/>
            <w:vAlign w:val="center"/>
          </w:tcPr>
          <w:p w:rsidR="00251C87" w:rsidRDefault="00251C87" w:rsidP="00C12621">
            <w:pPr>
              <w:jc w:val="both"/>
              <w:rPr>
                <w:rFonts w:ascii="Calibri" w:hAnsi="Calibri"/>
                <w:color w:val="000000"/>
                <w:sz w:val="18"/>
                <w:szCs w:val="18"/>
              </w:rPr>
            </w:pPr>
            <w:r>
              <w:rPr>
                <w:rFonts w:ascii="Calibri" w:hAnsi="Calibri" w:cs="Arial"/>
                <w:color w:val="000000"/>
                <w:sz w:val="18"/>
                <w:szCs w:val="18"/>
              </w:rPr>
              <w:t>1,000</w:t>
            </w:r>
          </w:p>
        </w:tc>
        <w:tc>
          <w:tcPr>
            <w:tcW w:w="1690" w:type="dxa"/>
            <w:vAlign w:val="center"/>
          </w:tcPr>
          <w:p w:rsidR="00251C87" w:rsidRDefault="00251C87" w:rsidP="00C12621">
            <w:pPr>
              <w:jc w:val="both"/>
              <w:rPr>
                <w:rFonts w:ascii="Calibri" w:hAnsi="Calibri"/>
                <w:color w:val="000000"/>
                <w:sz w:val="18"/>
                <w:szCs w:val="18"/>
              </w:rPr>
            </w:pPr>
            <w:r>
              <w:rPr>
                <w:rFonts w:ascii="Calibri" w:hAnsi="Calibri" w:cs="Arial"/>
                <w:color w:val="000000"/>
                <w:sz w:val="18"/>
                <w:szCs w:val="18"/>
              </w:rPr>
              <w:t>2,000</w:t>
            </w:r>
          </w:p>
        </w:tc>
        <w:tc>
          <w:tcPr>
            <w:tcW w:w="1703" w:type="dxa"/>
            <w:vAlign w:val="center"/>
          </w:tcPr>
          <w:p w:rsidR="00251C87" w:rsidRDefault="00251C87" w:rsidP="00C12621">
            <w:pPr>
              <w:jc w:val="both"/>
              <w:rPr>
                <w:rFonts w:ascii="Calibri" w:hAnsi="Calibri"/>
                <w:color w:val="000000"/>
                <w:sz w:val="18"/>
                <w:szCs w:val="18"/>
              </w:rPr>
            </w:pPr>
            <w:r>
              <w:rPr>
                <w:rFonts w:ascii="Calibri" w:hAnsi="Calibri"/>
                <w:color w:val="000000"/>
                <w:sz w:val="18"/>
                <w:szCs w:val="18"/>
              </w:rPr>
              <w:t>5,500</w:t>
            </w:r>
          </w:p>
        </w:tc>
      </w:tr>
      <w:tr w:rsidR="00251C87" w:rsidRPr="003C4961" w:rsidTr="00251C87">
        <w:tc>
          <w:tcPr>
            <w:tcW w:w="651" w:type="dxa"/>
          </w:tcPr>
          <w:p w:rsidR="00251C87" w:rsidRPr="003C4961" w:rsidRDefault="00251C87" w:rsidP="00C12621">
            <w:pPr>
              <w:shd w:val="clear" w:color="auto" w:fill="FFFFFF" w:themeFill="background1"/>
              <w:ind w:left="371"/>
              <w:jc w:val="both"/>
              <w:rPr>
                <w:rFonts w:eastAsia="Times New Roman" w:cs="Times New Roman"/>
                <w:sz w:val="18"/>
                <w:szCs w:val="18"/>
                <w:lang w:eastAsia="es-MX"/>
              </w:rPr>
            </w:pPr>
            <w:r w:rsidRPr="003C4961">
              <w:rPr>
                <w:rFonts w:eastAsia="Times New Roman" w:cs="Times New Roman"/>
                <w:sz w:val="18"/>
                <w:szCs w:val="18"/>
                <w:lang w:eastAsia="es-MX"/>
              </w:rPr>
              <w:t>3</w:t>
            </w:r>
          </w:p>
        </w:tc>
        <w:tc>
          <w:tcPr>
            <w:tcW w:w="1446" w:type="dxa"/>
          </w:tcPr>
          <w:p w:rsidR="00251C87" w:rsidRPr="003C4961" w:rsidRDefault="00251C87" w:rsidP="00C12621">
            <w:pPr>
              <w:shd w:val="clear" w:color="auto" w:fill="FFFFFF" w:themeFill="background1"/>
              <w:jc w:val="both"/>
              <w:rPr>
                <w:rFonts w:cs="Arial"/>
                <w:sz w:val="18"/>
                <w:szCs w:val="18"/>
              </w:rPr>
            </w:pPr>
            <w:r>
              <w:rPr>
                <w:rFonts w:cs="Arial"/>
                <w:sz w:val="18"/>
                <w:szCs w:val="18"/>
              </w:rPr>
              <w:t>500</w:t>
            </w:r>
          </w:p>
        </w:tc>
        <w:tc>
          <w:tcPr>
            <w:tcW w:w="1604" w:type="dxa"/>
            <w:vAlign w:val="center"/>
          </w:tcPr>
          <w:p w:rsidR="00251C87" w:rsidRDefault="00251C87" w:rsidP="00C12621">
            <w:pPr>
              <w:jc w:val="both"/>
              <w:rPr>
                <w:rFonts w:ascii="Calibri" w:hAnsi="Calibri"/>
                <w:color w:val="000000"/>
                <w:sz w:val="18"/>
                <w:szCs w:val="18"/>
              </w:rPr>
            </w:pPr>
            <w:r>
              <w:rPr>
                <w:rFonts w:ascii="Calibri" w:hAnsi="Calibri"/>
                <w:color w:val="000000"/>
                <w:sz w:val="18"/>
                <w:szCs w:val="18"/>
              </w:rPr>
              <w:t>2,000</w:t>
            </w:r>
          </w:p>
        </w:tc>
        <w:tc>
          <w:tcPr>
            <w:tcW w:w="1690" w:type="dxa"/>
            <w:vAlign w:val="center"/>
          </w:tcPr>
          <w:p w:rsidR="00251C87" w:rsidRDefault="00251C87" w:rsidP="00C12621">
            <w:pPr>
              <w:jc w:val="both"/>
              <w:rPr>
                <w:rFonts w:ascii="Calibri" w:hAnsi="Calibri"/>
                <w:color w:val="000000"/>
                <w:sz w:val="18"/>
                <w:szCs w:val="18"/>
              </w:rPr>
            </w:pPr>
            <w:r>
              <w:rPr>
                <w:rFonts w:ascii="Calibri" w:hAnsi="Calibri"/>
                <w:color w:val="000000"/>
                <w:sz w:val="18"/>
                <w:szCs w:val="18"/>
              </w:rPr>
              <w:t>4,000</w:t>
            </w:r>
          </w:p>
        </w:tc>
        <w:tc>
          <w:tcPr>
            <w:tcW w:w="1703" w:type="dxa"/>
            <w:vAlign w:val="center"/>
          </w:tcPr>
          <w:p w:rsidR="00251C87" w:rsidRDefault="00251C87" w:rsidP="00C12621">
            <w:pPr>
              <w:jc w:val="both"/>
              <w:rPr>
                <w:rFonts w:ascii="Calibri" w:hAnsi="Calibri"/>
                <w:color w:val="000000"/>
                <w:sz w:val="18"/>
                <w:szCs w:val="18"/>
              </w:rPr>
            </w:pPr>
            <w:r>
              <w:rPr>
                <w:rFonts w:ascii="Calibri" w:hAnsi="Calibri"/>
                <w:color w:val="000000"/>
                <w:sz w:val="18"/>
                <w:szCs w:val="18"/>
              </w:rPr>
              <w:t>11,000</w:t>
            </w:r>
          </w:p>
        </w:tc>
      </w:tr>
    </w:tbl>
    <w:p w:rsidR="00251C87" w:rsidRPr="003C4961" w:rsidRDefault="00251C87" w:rsidP="00C12621">
      <w:pPr>
        <w:jc w:val="both"/>
        <w:rPr>
          <w:rFonts w:eastAsiaTheme="majorEastAsia" w:cstheme="majorBidi"/>
          <w:b/>
          <w:bCs/>
          <w:color w:val="365F91" w:themeColor="accent1" w:themeShade="BF"/>
          <w:sz w:val="28"/>
          <w:szCs w:val="28"/>
        </w:rPr>
      </w:pPr>
    </w:p>
    <w:p w:rsidR="00027D3B" w:rsidRPr="008B43F6" w:rsidRDefault="00027D3B" w:rsidP="00C12621">
      <w:pPr>
        <w:jc w:val="both"/>
        <w:rPr>
          <w:rFonts w:eastAsiaTheme="majorEastAsia" w:cstheme="majorBidi"/>
          <w:b/>
          <w:bCs/>
          <w:color w:val="365F91" w:themeColor="accent1" w:themeShade="BF"/>
          <w:sz w:val="28"/>
          <w:szCs w:val="28"/>
        </w:rPr>
      </w:pPr>
      <w:r w:rsidRPr="008B43F6">
        <w:br w:type="page"/>
      </w:r>
    </w:p>
    <w:p w:rsidR="005C7E01" w:rsidRPr="008B43F6" w:rsidRDefault="005C7E01" w:rsidP="00C12621">
      <w:pPr>
        <w:pStyle w:val="Ttulo1"/>
        <w:numPr>
          <w:ilvl w:val="0"/>
          <w:numId w:val="18"/>
        </w:numPr>
        <w:jc w:val="both"/>
        <w:rPr>
          <w:rFonts w:asciiTheme="minorHAnsi" w:hAnsiTheme="minorHAnsi"/>
        </w:rPr>
      </w:pPr>
      <w:bookmarkStart w:id="92" w:name="_Toc350874992"/>
      <w:bookmarkStart w:id="93" w:name="_Toc351397604"/>
      <w:r w:rsidRPr="008B43F6">
        <w:rPr>
          <w:rFonts w:asciiTheme="minorHAnsi" w:hAnsiTheme="minorHAnsi"/>
        </w:rPr>
        <w:lastRenderedPageBreak/>
        <w:t>Conclusiones y recomendaciones</w:t>
      </w:r>
      <w:bookmarkEnd w:id="92"/>
      <w:bookmarkEnd w:id="93"/>
    </w:p>
    <w:p w:rsidR="00EA6A89" w:rsidRPr="008B43F6" w:rsidRDefault="00EA6A89" w:rsidP="00C12621">
      <w:pPr>
        <w:jc w:val="both"/>
      </w:pPr>
      <w:bookmarkStart w:id="94" w:name="_Toc351004041"/>
      <w:r w:rsidRPr="008B43F6">
        <w:t>Como se ha referido, el desarrollo de la vivienda sustentable trae consigo un conjunto de beneficios directos e indirectos que se reflejan en las condiciones de las familias, de la economía y del medio ambiente.</w:t>
      </w:r>
    </w:p>
    <w:p w:rsidR="00EA6A89" w:rsidRPr="008B43F6" w:rsidRDefault="00EA6A89" w:rsidP="00C12621">
      <w:pPr>
        <w:jc w:val="both"/>
      </w:pPr>
      <w:r w:rsidRPr="008B43F6">
        <w:t>De esta manera, el desarrollo de la vivienda sustentable aporta no solo a la política de proveer de un hogar a las familias sino también para apoyar su economía de manera directa al reducir gastos en energía y/o generar oportunidades de empleo; de proveer de un ambiente sano dentro y fuera de la vivienda, lo cual se refleja en menores gastos en salud; y de reducir los gastos que hace el gobierno federal en subsidios a la energía.</w:t>
      </w:r>
    </w:p>
    <w:p w:rsidR="00EA6A89" w:rsidRPr="008B43F6" w:rsidRDefault="00EA6A89" w:rsidP="00C12621">
      <w:pPr>
        <w:jc w:val="both"/>
      </w:pPr>
      <w:r w:rsidRPr="008B43F6">
        <w:t>En particular:</w:t>
      </w:r>
    </w:p>
    <w:p w:rsidR="00EA6A89" w:rsidRPr="008B43F6" w:rsidRDefault="00EA6A89" w:rsidP="00C12621">
      <w:pPr>
        <w:pStyle w:val="Prrafodelista"/>
        <w:numPr>
          <w:ilvl w:val="0"/>
          <w:numId w:val="39"/>
        </w:numPr>
        <w:jc w:val="both"/>
      </w:pPr>
      <w:r w:rsidRPr="008B43F6">
        <w:t>Cada familia que habita las viviendas del programa ahorraría entre 695 y 2,800 pesos pesos por año, lo cual representa entre el 1.2-2.6% de los ingresos de las familias participantes.</w:t>
      </w:r>
    </w:p>
    <w:p w:rsidR="00EA6A89" w:rsidRPr="008B43F6" w:rsidRDefault="00EA6A89" w:rsidP="00C12621">
      <w:pPr>
        <w:pStyle w:val="Prrafodelista"/>
        <w:numPr>
          <w:ilvl w:val="0"/>
          <w:numId w:val="39"/>
        </w:numPr>
        <w:jc w:val="both"/>
        <w:rPr>
          <w:rFonts w:cstheme="minorHAnsi"/>
          <w:iCs/>
        </w:rPr>
      </w:pPr>
      <w:r w:rsidRPr="008B43F6">
        <w:rPr>
          <w:rFonts w:cstheme="minorHAnsi"/>
          <w:iCs/>
        </w:rPr>
        <w:t xml:space="preserve">Se estima que el programa tendría una derrama, por la compra e instalación de equipos eficientes, de hasta cerca de </w:t>
      </w:r>
      <w:r w:rsidRPr="008B43F6">
        <w:t xml:space="preserve">50 mil millones de pesos </w:t>
      </w:r>
      <w:r w:rsidRPr="008B43F6">
        <w:rPr>
          <w:rFonts w:cstheme="minorHAnsi"/>
          <w:iCs/>
        </w:rPr>
        <w:t>en el plazo del programa.</w:t>
      </w:r>
    </w:p>
    <w:p w:rsidR="00EA6A89" w:rsidRPr="008B43F6" w:rsidRDefault="00EA6A89" w:rsidP="00C12621">
      <w:pPr>
        <w:pStyle w:val="Prrafodelista"/>
        <w:numPr>
          <w:ilvl w:val="0"/>
          <w:numId w:val="39"/>
        </w:numPr>
        <w:jc w:val="both"/>
      </w:pPr>
      <w:r w:rsidRPr="008B43F6">
        <w:t>Se estima que la aplicación de la tecnología considera para el programa resul</w:t>
      </w:r>
      <w:r w:rsidR="00942F0A">
        <w:t>taría en la creación de hasta 2</w:t>
      </w:r>
      <w:r w:rsidRPr="008B43F6">
        <w:t>0,000 empleos nuevos (para el Escenario 3).</w:t>
      </w:r>
    </w:p>
    <w:p w:rsidR="00EA6A89" w:rsidRPr="008B43F6" w:rsidRDefault="00EA6A89" w:rsidP="00C12621">
      <w:pPr>
        <w:pStyle w:val="Prrafodelista"/>
        <w:numPr>
          <w:ilvl w:val="0"/>
          <w:numId w:val="39"/>
        </w:numPr>
        <w:jc w:val="both"/>
      </w:pPr>
      <w:r w:rsidRPr="008B43F6">
        <w:t>En particular, se estiman reducciones hasta de 2.15 millones de toneladas de CO</w:t>
      </w:r>
      <w:r w:rsidRPr="008B43F6">
        <w:rPr>
          <w:vertAlign w:val="subscript"/>
        </w:rPr>
        <w:t>2</w:t>
      </w:r>
      <w:r w:rsidRPr="008B43F6">
        <w:t xml:space="preserve"> para el Escenario de mayor alcance (Escenario 3).</w:t>
      </w:r>
    </w:p>
    <w:p w:rsidR="00EA6A89" w:rsidRPr="008B43F6" w:rsidRDefault="00EA6A89" w:rsidP="00C12621">
      <w:pPr>
        <w:pStyle w:val="Prrafodelista"/>
        <w:numPr>
          <w:ilvl w:val="0"/>
          <w:numId w:val="39"/>
        </w:numPr>
        <w:jc w:val="both"/>
        <w:rPr>
          <w:b/>
        </w:rPr>
      </w:pPr>
      <w:r w:rsidRPr="008B43F6">
        <w:t>Al consumir menos energía se reduce la aportación que hace por subsidio el gobierno federal hasta por poco más de 1,000 millones de pesos por año de pesos al año (En el Escenario 3).</w:t>
      </w:r>
    </w:p>
    <w:p w:rsidR="00EA6A89" w:rsidRPr="008B43F6" w:rsidRDefault="00EA6A89" w:rsidP="00C12621">
      <w:pPr>
        <w:jc w:val="both"/>
      </w:pPr>
      <w:r w:rsidRPr="008B43F6">
        <w:t>Estos impactos no incluyen otros que no son fácilmente cuantificables pero que son también importantes:</w:t>
      </w:r>
    </w:p>
    <w:p w:rsidR="00EA6A89" w:rsidRPr="008B43F6" w:rsidRDefault="00EA6A89" w:rsidP="00C12621">
      <w:pPr>
        <w:pStyle w:val="Prrafodelista"/>
        <w:numPr>
          <w:ilvl w:val="0"/>
          <w:numId w:val="40"/>
        </w:numPr>
        <w:jc w:val="both"/>
      </w:pPr>
      <w:r w:rsidRPr="008B43F6">
        <w:t>Desarrollo de empresas locales relacionadas a la instalación de equipos y sistemas asociados a la vivienda sustentable.</w:t>
      </w:r>
    </w:p>
    <w:p w:rsidR="00EA6A89" w:rsidRPr="008B43F6" w:rsidRDefault="00EA6A89" w:rsidP="00C12621">
      <w:pPr>
        <w:pStyle w:val="Prrafodelista"/>
        <w:numPr>
          <w:ilvl w:val="0"/>
          <w:numId w:val="40"/>
        </w:numPr>
        <w:jc w:val="both"/>
      </w:pPr>
      <w:r w:rsidRPr="008B43F6">
        <w:t>Menor presión sobre la infraestructura de distribución de electricidad.</w:t>
      </w:r>
    </w:p>
    <w:p w:rsidR="00EA6A89" w:rsidRPr="008B43F6" w:rsidRDefault="00EA6A89" w:rsidP="00C12621">
      <w:pPr>
        <w:pStyle w:val="Prrafodelista"/>
        <w:numPr>
          <w:ilvl w:val="0"/>
          <w:numId w:val="40"/>
        </w:numPr>
        <w:jc w:val="both"/>
      </w:pPr>
      <w:r w:rsidRPr="008B43F6">
        <w:t>Prevención y mitigación de enfermedades asociadas a la calidad del aire interior en las viviendas.</w:t>
      </w:r>
    </w:p>
    <w:p w:rsidR="00EA6A89" w:rsidRPr="008B43F6" w:rsidRDefault="00EA6A89" w:rsidP="00C12621">
      <w:pPr>
        <w:jc w:val="both"/>
      </w:pPr>
      <w:r w:rsidRPr="008B43F6">
        <w:t>Por lo anterior se considera de la mayor importancia que se considere al programa de vivienda sustentable como una línea de acción que apoya la aplicación de un conjunto amplio de políticas públicas en México, en particular</w:t>
      </w:r>
      <w:r w:rsidR="00817EA0" w:rsidRPr="008B43F6">
        <w:t>:</w:t>
      </w:r>
      <w:r w:rsidRPr="008B43F6">
        <w:t xml:space="preserve"> </w:t>
      </w:r>
    </w:p>
    <w:p w:rsidR="00EA6A89" w:rsidRPr="008B43F6" w:rsidRDefault="00EA6A89" w:rsidP="00C12621">
      <w:pPr>
        <w:pStyle w:val="Prrafodelista"/>
        <w:numPr>
          <w:ilvl w:val="0"/>
          <w:numId w:val="41"/>
        </w:numPr>
        <w:jc w:val="both"/>
      </w:pPr>
      <w:r w:rsidRPr="008B43F6">
        <w:rPr>
          <w:lang w:val="es-ES"/>
        </w:rPr>
        <w:t>G</w:t>
      </w:r>
      <w:r w:rsidRPr="008B43F6">
        <w:t>enerar ciudades sustentables, seguras, competitivas y habitables, que lleve a una mejor calidad de vida de la población.</w:t>
      </w:r>
    </w:p>
    <w:p w:rsidR="00EA6A89" w:rsidRPr="008B43F6" w:rsidRDefault="00EA6A89" w:rsidP="00C12621">
      <w:pPr>
        <w:pStyle w:val="Prrafodelista"/>
        <w:numPr>
          <w:ilvl w:val="0"/>
          <w:numId w:val="41"/>
        </w:numPr>
        <w:jc w:val="both"/>
      </w:pPr>
      <w:r w:rsidRPr="008B43F6">
        <w:t xml:space="preserve">Fortalecer la operación, productividad y competitividad de la micro, pequeña y mediana empresa” la cual está relacionada con el desarrollo del mercado de productos y servicios asociados a la sustentabilidad. </w:t>
      </w:r>
    </w:p>
    <w:p w:rsidR="003C4961" w:rsidRPr="008B43F6" w:rsidRDefault="003C4961" w:rsidP="00C12621">
      <w:pPr>
        <w:pStyle w:val="Ttulo1"/>
        <w:spacing w:after="240"/>
        <w:jc w:val="both"/>
        <w:rPr>
          <w:rFonts w:asciiTheme="minorHAnsi" w:hAnsiTheme="minorHAnsi"/>
        </w:rPr>
      </w:pPr>
      <w:bookmarkStart w:id="95" w:name="_Toc351397605"/>
      <w:r w:rsidRPr="008B43F6">
        <w:rPr>
          <w:rFonts w:asciiTheme="minorHAnsi" w:hAnsiTheme="minorHAnsi"/>
        </w:rPr>
        <w:lastRenderedPageBreak/>
        <w:t>ANEXO I. Metodología</w:t>
      </w:r>
      <w:bookmarkEnd w:id="94"/>
      <w:bookmarkEnd w:id="95"/>
    </w:p>
    <w:p w:rsidR="003C4961" w:rsidRPr="008B43F6" w:rsidRDefault="003C4961" w:rsidP="00C12621">
      <w:pPr>
        <w:spacing w:after="240"/>
        <w:jc w:val="both"/>
      </w:pPr>
      <w:r w:rsidRPr="008B43F6">
        <w:t xml:space="preserve">En esta sección se explica la metodología seguida para construir los escenarios de un programa de vivienda energéticamente eficiente para </w:t>
      </w:r>
      <w:r w:rsidR="00874C62" w:rsidRPr="008B43F6">
        <w:t>México</w:t>
      </w:r>
      <w:r w:rsidRPr="008B43F6">
        <w:t xml:space="preserve"> y  </w:t>
      </w:r>
      <w:r w:rsidR="00874C62" w:rsidRPr="008B43F6">
        <w:t xml:space="preserve">para </w:t>
      </w:r>
      <w:r w:rsidRPr="008B43F6">
        <w:t>cuantificar los co-beneficios  derivados del programa.</w:t>
      </w:r>
    </w:p>
    <w:p w:rsidR="003C4961" w:rsidRPr="008B43F6" w:rsidRDefault="003C4961" w:rsidP="00C12621">
      <w:pPr>
        <w:spacing w:after="240"/>
        <w:jc w:val="both"/>
      </w:pPr>
      <w:r w:rsidRPr="008B43F6">
        <w:t>Los co-beneficios  que se cuantificaron fueron los siguientes:</w:t>
      </w:r>
    </w:p>
    <w:p w:rsidR="003C4961" w:rsidRPr="008B43F6" w:rsidRDefault="003C4961" w:rsidP="00C12621">
      <w:pPr>
        <w:pStyle w:val="Prrafodelista"/>
        <w:numPr>
          <w:ilvl w:val="0"/>
          <w:numId w:val="42"/>
        </w:numPr>
        <w:spacing w:after="240"/>
        <w:jc w:val="both"/>
      </w:pPr>
      <w:r w:rsidRPr="008B43F6">
        <w:t>Ahorros monetarios a nivel de vivienda y a nivel de programa</w:t>
      </w:r>
    </w:p>
    <w:p w:rsidR="003C4961" w:rsidRPr="008B43F6" w:rsidRDefault="003C4961" w:rsidP="00C12621">
      <w:pPr>
        <w:pStyle w:val="Prrafodelista"/>
        <w:numPr>
          <w:ilvl w:val="0"/>
          <w:numId w:val="42"/>
        </w:numPr>
        <w:spacing w:after="240"/>
        <w:jc w:val="both"/>
      </w:pPr>
      <w:r w:rsidRPr="008B43F6">
        <w:t>Ahorros en subsidios a combustibles</w:t>
      </w:r>
    </w:p>
    <w:p w:rsidR="003C4961" w:rsidRPr="008B43F6" w:rsidRDefault="003C4961" w:rsidP="00C12621">
      <w:pPr>
        <w:pStyle w:val="Prrafodelista"/>
        <w:numPr>
          <w:ilvl w:val="0"/>
          <w:numId w:val="42"/>
        </w:numPr>
        <w:spacing w:after="240"/>
        <w:jc w:val="both"/>
      </w:pPr>
      <w:r w:rsidRPr="008B43F6">
        <w:t>Empleo directo creado por el programa</w:t>
      </w:r>
    </w:p>
    <w:p w:rsidR="003C4961" w:rsidRPr="008B43F6" w:rsidRDefault="003C4961" w:rsidP="00C12621">
      <w:pPr>
        <w:pStyle w:val="Prrafodelista"/>
        <w:numPr>
          <w:ilvl w:val="0"/>
          <w:numId w:val="42"/>
        </w:numPr>
        <w:spacing w:after="240"/>
        <w:jc w:val="both"/>
      </w:pPr>
      <w:r w:rsidRPr="008B43F6">
        <w:t>Derrama económica por compra de equipos eficientes</w:t>
      </w:r>
    </w:p>
    <w:p w:rsidR="003C4961" w:rsidRPr="008B43F6" w:rsidRDefault="003C4961" w:rsidP="00C12621">
      <w:pPr>
        <w:pStyle w:val="Prrafodelista"/>
        <w:numPr>
          <w:ilvl w:val="0"/>
          <w:numId w:val="42"/>
        </w:numPr>
        <w:spacing w:after="240"/>
        <w:jc w:val="both"/>
      </w:pPr>
      <w:r w:rsidRPr="008B43F6">
        <w:t>Emisiones evitadas de CO</w:t>
      </w:r>
      <w:r w:rsidRPr="008B43F6">
        <w:rPr>
          <w:vertAlign w:val="subscript"/>
        </w:rPr>
        <w:t>2</w:t>
      </w:r>
      <w:r w:rsidRPr="008B43F6">
        <w:t>, CH</w:t>
      </w:r>
      <w:r w:rsidRPr="008B43F6">
        <w:rPr>
          <w:vertAlign w:val="subscript"/>
        </w:rPr>
        <w:t>4</w:t>
      </w:r>
      <w:r w:rsidRPr="008B43F6">
        <w:t>, N2O, NOx, CO y NMVOC</w:t>
      </w:r>
    </w:p>
    <w:p w:rsidR="003C4961" w:rsidRPr="008B43F6" w:rsidRDefault="003C4961" w:rsidP="00C12621">
      <w:pPr>
        <w:pStyle w:val="Prrafodelista"/>
        <w:spacing w:after="240"/>
        <w:jc w:val="both"/>
      </w:pPr>
    </w:p>
    <w:p w:rsidR="003C4961" w:rsidRPr="008B43F6" w:rsidRDefault="003C4961" w:rsidP="00C12621">
      <w:pPr>
        <w:pStyle w:val="Prrafodelista"/>
        <w:numPr>
          <w:ilvl w:val="0"/>
          <w:numId w:val="44"/>
        </w:numPr>
        <w:jc w:val="both"/>
        <w:rPr>
          <w:b/>
        </w:rPr>
      </w:pPr>
      <w:r w:rsidRPr="008B43F6">
        <w:rPr>
          <w:b/>
        </w:rPr>
        <w:t>Se define el número de viviendas a ser construidas en el programa durante un período de seis años.</w:t>
      </w:r>
    </w:p>
    <w:p w:rsidR="003C4961" w:rsidRPr="008B43F6" w:rsidRDefault="003C4961" w:rsidP="00C12621">
      <w:pPr>
        <w:jc w:val="both"/>
      </w:pPr>
      <w:r w:rsidRPr="008B43F6">
        <w:t xml:space="preserve">Para </w:t>
      </w:r>
      <w:r w:rsidR="00874C62" w:rsidRPr="008B43F6">
        <w:t>México</w:t>
      </w:r>
      <w:r w:rsidRPr="008B43F6">
        <w:t xml:space="preserve"> se proponen tres escenarios con diferentes números de viviendas, basado en el crecimiento del número de hogares y las necesidades de vivienda en este periodo:</w:t>
      </w:r>
    </w:p>
    <w:p w:rsidR="003C4961" w:rsidRPr="008B43F6" w:rsidRDefault="003C4961" w:rsidP="00C12621">
      <w:pPr>
        <w:pStyle w:val="Prrafodelista"/>
        <w:numPr>
          <w:ilvl w:val="0"/>
          <w:numId w:val="43"/>
        </w:numPr>
        <w:jc w:val="both"/>
      </w:pPr>
      <w:r w:rsidRPr="008B43F6">
        <w:rPr>
          <w:b/>
        </w:rPr>
        <w:t>Escenario 1:</w:t>
      </w:r>
      <w:r w:rsidRPr="008B43F6">
        <w:t xml:space="preserve"> </w:t>
      </w:r>
      <w:r w:rsidR="00874C62" w:rsidRPr="008B43F6">
        <w:t>1 mill</w:t>
      </w:r>
      <w:r w:rsidR="00A42856" w:rsidRPr="008B43F6">
        <w:t>ó</w:t>
      </w:r>
      <w:r w:rsidR="00874C62" w:rsidRPr="008B43F6">
        <w:t>n</w:t>
      </w:r>
      <w:r w:rsidRPr="008B43F6">
        <w:t xml:space="preserve"> de viviendas dentro del programa </w:t>
      </w:r>
    </w:p>
    <w:p w:rsidR="003C4961" w:rsidRPr="008B43F6" w:rsidRDefault="003C4961" w:rsidP="00C12621">
      <w:pPr>
        <w:pStyle w:val="Prrafodelista"/>
        <w:numPr>
          <w:ilvl w:val="0"/>
          <w:numId w:val="43"/>
        </w:numPr>
        <w:jc w:val="both"/>
      </w:pPr>
      <w:r w:rsidRPr="008B43F6">
        <w:rPr>
          <w:b/>
        </w:rPr>
        <w:t xml:space="preserve">Escenario 2: </w:t>
      </w:r>
      <w:r w:rsidRPr="008B43F6">
        <w:t>1</w:t>
      </w:r>
      <w:r w:rsidR="00874C62" w:rsidRPr="008B43F6">
        <w:t>.</w:t>
      </w:r>
      <w:r w:rsidRPr="008B43F6">
        <w:t>5 mi</w:t>
      </w:r>
      <w:r w:rsidR="00A42856" w:rsidRPr="008B43F6">
        <w:t>ll</w:t>
      </w:r>
      <w:r w:rsidR="00874C62" w:rsidRPr="008B43F6">
        <w:t>ones de</w:t>
      </w:r>
      <w:r w:rsidRPr="008B43F6">
        <w:t>l viviendas, y</w:t>
      </w:r>
    </w:p>
    <w:p w:rsidR="003C4961" w:rsidRPr="008B43F6" w:rsidRDefault="003C4961" w:rsidP="00C12621">
      <w:pPr>
        <w:pStyle w:val="Prrafodelista"/>
        <w:numPr>
          <w:ilvl w:val="0"/>
          <w:numId w:val="43"/>
        </w:numPr>
        <w:jc w:val="both"/>
      </w:pPr>
      <w:r w:rsidRPr="008B43F6">
        <w:rPr>
          <w:b/>
        </w:rPr>
        <w:t>Escenario 3:</w:t>
      </w:r>
      <w:r w:rsidR="00874C62" w:rsidRPr="008B43F6">
        <w:t xml:space="preserve"> 3</w:t>
      </w:r>
      <w:r w:rsidRPr="008B43F6">
        <w:t xml:space="preserve"> mil</w:t>
      </w:r>
      <w:r w:rsidR="00874C62" w:rsidRPr="008B43F6">
        <w:t>lones de</w:t>
      </w:r>
      <w:r w:rsidRPr="008B43F6">
        <w:t xml:space="preserve"> viviendas.</w:t>
      </w:r>
    </w:p>
    <w:p w:rsidR="003C4961" w:rsidRPr="008B43F6" w:rsidRDefault="003C4961" w:rsidP="00C12621">
      <w:pPr>
        <w:pStyle w:val="Prrafodelista"/>
        <w:jc w:val="both"/>
      </w:pPr>
    </w:p>
    <w:p w:rsidR="003C4961" w:rsidRPr="008B43F6" w:rsidRDefault="003C4961" w:rsidP="00C12621">
      <w:pPr>
        <w:pStyle w:val="Prrafodelista"/>
        <w:numPr>
          <w:ilvl w:val="0"/>
          <w:numId w:val="44"/>
        </w:numPr>
        <w:jc w:val="both"/>
        <w:rPr>
          <w:b/>
        </w:rPr>
      </w:pPr>
      <w:r w:rsidRPr="008B43F6">
        <w:rPr>
          <w:b/>
        </w:rPr>
        <w:t>El total definido en el punto anterior desagrega en tres dimensiones</w:t>
      </w:r>
    </w:p>
    <w:p w:rsidR="003C4961" w:rsidRPr="008B43F6" w:rsidRDefault="003C4961" w:rsidP="00C12621">
      <w:pPr>
        <w:pStyle w:val="Prrafodelista"/>
        <w:numPr>
          <w:ilvl w:val="1"/>
          <w:numId w:val="44"/>
        </w:numPr>
        <w:jc w:val="both"/>
        <w:rPr>
          <w:b/>
        </w:rPr>
      </w:pPr>
      <w:r w:rsidRPr="008B43F6">
        <w:rPr>
          <w:b/>
        </w:rPr>
        <w:t>Por nivel de ingreso</w:t>
      </w:r>
    </w:p>
    <w:p w:rsidR="003C4961" w:rsidRPr="008B43F6" w:rsidRDefault="003C4961" w:rsidP="00C12621">
      <w:pPr>
        <w:pStyle w:val="Prrafodelista"/>
        <w:numPr>
          <w:ilvl w:val="1"/>
          <w:numId w:val="44"/>
        </w:numPr>
        <w:jc w:val="both"/>
        <w:rPr>
          <w:b/>
        </w:rPr>
      </w:pPr>
      <w:r w:rsidRPr="008B43F6">
        <w:rPr>
          <w:b/>
        </w:rPr>
        <w:t xml:space="preserve">Por región. </w:t>
      </w:r>
      <w:r w:rsidRPr="008B43F6">
        <w:t>Las regiones se establecen de acuerdo a la temperatura media mínima en verano basado en la regionalización que hace CFE en México:</w:t>
      </w:r>
    </w:p>
    <w:tbl>
      <w:tblPr>
        <w:tblStyle w:val="Tablaconcuadrcula"/>
        <w:tblW w:w="0" w:type="auto"/>
        <w:jc w:val="center"/>
        <w:tblInd w:w="360" w:type="dxa"/>
        <w:tblLook w:val="04A0" w:firstRow="1" w:lastRow="0" w:firstColumn="1" w:lastColumn="0" w:noHBand="0" w:noVBand="1"/>
      </w:tblPr>
      <w:tblGrid>
        <w:gridCol w:w="1166"/>
        <w:gridCol w:w="1559"/>
      </w:tblGrid>
      <w:tr w:rsidR="003C4961" w:rsidRPr="008B43F6" w:rsidTr="003C4961">
        <w:trPr>
          <w:jc w:val="center"/>
        </w:trPr>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F81BD" w:themeFill="accent1"/>
            <w:hideMark/>
          </w:tcPr>
          <w:p w:rsidR="003C4961" w:rsidRPr="008B43F6" w:rsidRDefault="003C4961" w:rsidP="00C12621">
            <w:pPr>
              <w:spacing w:line="276" w:lineRule="auto"/>
              <w:jc w:val="both"/>
              <w:rPr>
                <w:b/>
                <w:color w:val="FFFFFF" w:themeColor="background1"/>
                <w:sz w:val="18"/>
                <w:szCs w:val="18"/>
              </w:rPr>
            </w:pPr>
            <w:r w:rsidRPr="008B43F6">
              <w:rPr>
                <w:b/>
                <w:color w:val="FFFFFF" w:themeColor="background1"/>
                <w:sz w:val="18"/>
                <w:szCs w:val="18"/>
              </w:rPr>
              <w:t>Región</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F81BD" w:themeFill="accent1"/>
            <w:hideMark/>
          </w:tcPr>
          <w:p w:rsidR="003C4961" w:rsidRPr="008B43F6" w:rsidRDefault="003C4961" w:rsidP="00C12621">
            <w:pPr>
              <w:spacing w:line="276" w:lineRule="auto"/>
              <w:jc w:val="both"/>
              <w:rPr>
                <w:b/>
                <w:color w:val="FFFFFF" w:themeColor="background1"/>
                <w:sz w:val="18"/>
                <w:szCs w:val="18"/>
              </w:rPr>
            </w:pPr>
            <w:r w:rsidRPr="008B43F6">
              <w:rPr>
                <w:b/>
                <w:color w:val="FFFFFF" w:themeColor="background1"/>
                <w:sz w:val="18"/>
                <w:szCs w:val="18"/>
              </w:rPr>
              <w:t xml:space="preserve">Temperatura media mínima en verano </w:t>
            </w:r>
          </w:p>
        </w:tc>
      </w:tr>
      <w:tr w:rsidR="003C4961" w:rsidRPr="008B43F6" w:rsidTr="003C4961">
        <w:trPr>
          <w:jc w:val="center"/>
        </w:trPr>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3C4961" w:rsidRPr="008B43F6" w:rsidRDefault="003C4961" w:rsidP="00C12621">
            <w:pPr>
              <w:spacing w:line="276" w:lineRule="auto"/>
              <w:jc w:val="both"/>
              <w:rPr>
                <w:sz w:val="18"/>
                <w:szCs w:val="18"/>
              </w:rPr>
            </w:pPr>
            <w:r w:rsidRPr="008B43F6">
              <w:rPr>
                <w:sz w:val="18"/>
                <w:szCs w:val="18"/>
              </w:rPr>
              <w:t>1</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3C4961" w:rsidRPr="008B43F6" w:rsidRDefault="003C4961" w:rsidP="00C12621">
            <w:pPr>
              <w:spacing w:line="276" w:lineRule="auto"/>
              <w:jc w:val="both"/>
              <w:rPr>
                <w:sz w:val="18"/>
                <w:szCs w:val="18"/>
              </w:rPr>
            </w:pPr>
            <w:r w:rsidRPr="008B43F6">
              <w:rPr>
                <w:sz w:val="18"/>
                <w:szCs w:val="18"/>
              </w:rPr>
              <w:t>menor a 25°</w:t>
            </w:r>
          </w:p>
        </w:tc>
      </w:tr>
      <w:tr w:rsidR="003C4961" w:rsidRPr="008B43F6" w:rsidTr="003C4961">
        <w:trPr>
          <w:jc w:val="center"/>
        </w:trPr>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3C4961" w:rsidRPr="008B43F6" w:rsidRDefault="003C4961" w:rsidP="00C12621">
            <w:pPr>
              <w:spacing w:line="276" w:lineRule="auto"/>
              <w:jc w:val="both"/>
              <w:rPr>
                <w:sz w:val="18"/>
                <w:szCs w:val="18"/>
              </w:rPr>
            </w:pPr>
            <w:r w:rsidRPr="008B43F6">
              <w:rPr>
                <w:sz w:val="18"/>
                <w:szCs w:val="18"/>
              </w:rPr>
              <w:t>1 A</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3C4961" w:rsidRPr="008B43F6" w:rsidRDefault="003C4961" w:rsidP="00C12621">
            <w:pPr>
              <w:spacing w:line="276" w:lineRule="auto"/>
              <w:jc w:val="both"/>
              <w:rPr>
                <w:sz w:val="18"/>
                <w:szCs w:val="18"/>
              </w:rPr>
            </w:pPr>
            <w:r w:rsidRPr="008B43F6">
              <w:rPr>
                <w:sz w:val="18"/>
                <w:szCs w:val="18"/>
              </w:rPr>
              <w:t>25°</w:t>
            </w:r>
          </w:p>
        </w:tc>
      </w:tr>
      <w:tr w:rsidR="003C4961" w:rsidRPr="008B43F6" w:rsidTr="003C4961">
        <w:trPr>
          <w:jc w:val="center"/>
        </w:trPr>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3C4961" w:rsidRPr="008B43F6" w:rsidRDefault="003C4961" w:rsidP="00C12621">
            <w:pPr>
              <w:spacing w:line="276" w:lineRule="auto"/>
              <w:jc w:val="both"/>
              <w:rPr>
                <w:sz w:val="18"/>
                <w:szCs w:val="18"/>
              </w:rPr>
            </w:pPr>
            <w:r w:rsidRPr="008B43F6">
              <w:rPr>
                <w:sz w:val="18"/>
                <w:szCs w:val="18"/>
              </w:rPr>
              <w:t>1 B</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3C4961" w:rsidRPr="008B43F6" w:rsidRDefault="003C4961" w:rsidP="00C12621">
            <w:pPr>
              <w:spacing w:line="276" w:lineRule="auto"/>
              <w:jc w:val="both"/>
              <w:rPr>
                <w:sz w:val="18"/>
                <w:szCs w:val="18"/>
              </w:rPr>
            </w:pPr>
            <w:r w:rsidRPr="008B43F6">
              <w:rPr>
                <w:sz w:val="18"/>
                <w:szCs w:val="18"/>
              </w:rPr>
              <w:t>28°</w:t>
            </w:r>
          </w:p>
        </w:tc>
      </w:tr>
      <w:tr w:rsidR="003C4961" w:rsidRPr="008B43F6" w:rsidTr="003C4961">
        <w:trPr>
          <w:jc w:val="center"/>
        </w:trPr>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3C4961" w:rsidRPr="008B43F6" w:rsidRDefault="003C4961" w:rsidP="00C12621">
            <w:pPr>
              <w:spacing w:line="276" w:lineRule="auto"/>
              <w:jc w:val="both"/>
              <w:rPr>
                <w:sz w:val="18"/>
                <w:szCs w:val="18"/>
              </w:rPr>
            </w:pPr>
            <w:r w:rsidRPr="008B43F6">
              <w:rPr>
                <w:sz w:val="18"/>
                <w:szCs w:val="18"/>
              </w:rPr>
              <w:t xml:space="preserve">1 C </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3C4961" w:rsidRPr="008B43F6" w:rsidRDefault="003C4961" w:rsidP="00C12621">
            <w:pPr>
              <w:spacing w:line="276" w:lineRule="auto"/>
              <w:jc w:val="both"/>
              <w:rPr>
                <w:sz w:val="18"/>
                <w:szCs w:val="18"/>
              </w:rPr>
            </w:pPr>
            <w:r w:rsidRPr="008B43F6">
              <w:rPr>
                <w:sz w:val="18"/>
                <w:szCs w:val="18"/>
              </w:rPr>
              <w:t>30°</w:t>
            </w:r>
          </w:p>
        </w:tc>
      </w:tr>
      <w:tr w:rsidR="003C4961" w:rsidRPr="008B43F6" w:rsidTr="003C4961">
        <w:trPr>
          <w:jc w:val="center"/>
        </w:trPr>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3C4961" w:rsidRPr="008B43F6" w:rsidRDefault="003C4961" w:rsidP="00C12621">
            <w:pPr>
              <w:spacing w:line="276" w:lineRule="auto"/>
              <w:jc w:val="both"/>
              <w:rPr>
                <w:sz w:val="18"/>
                <w:szCs w:val="18"/>
              </w:rPr>
            </w:pPr>
            <w:r w:rsidRPr="008B43F6">
              <w:rPr>
                <w:sz w:val="18"/>
                <w:szCs w:val="18"/>
              </w:rPr>
              <w:t>1 D</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3C4961" w:rsidRPr="008B43F6" w:rsidRDefault="003C4961" w:rsidP="00C12621">
            <w:pPr>
              <w:spacing w:line="276" w:lineRule="auto"/>
              <w:jc w:val="both"/>
              <w:rPr>
                <w:sz w:val="18"/>
                <w:szCs w:val="18"/>
              </w:rPr>
            </w:pPr>
            <w:r w:rsidRPr="008B43F6">
              <w:rPr>
                <w:sz w:val="18"/>
                <w:szCs w:val="18"/>
              </w:rPr>
              <w:t>31°</w:t>
            </w:r>
          </w:p>
        </w:tc>
      </w:tr>
      <w:tr w:rsidR="003C4961" w:rsidRPr="008B43F6" w:rsidTr="003C4961">
        <w:trPr>
          <w:jc w:val="center"/>
        </w:trPr>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3C4961" w:rsidRPr="008B43F6" w:rsidRDefault="003C4961" w:rsidP="00C12621">
            <w:pPr>
              <w:spacing w:line="276" w:lineRule="auto"/>
              <w:jc w:val="both"/>
              <w:rPr>
                <w:sz w:val="18"/>
                <w:szCs w:val="18"/>
              </w:rPr>
            </w:pPr>
            <w:r w:rsidRPr="008B43F6">
              <w:rPr>
                <w:sz w:val="18"/>
                <w:szCs w:val="18"/>
              </w:rPr>
              <w:t>1 E</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3C4961" w:rsidRPr="008B43F6" w:rsidRDefault="003C4961" w:rsidP="00C12621">
            <w:pPr>
              <w:spacing w:line="276" w:lineRule="auto"/>
              <w:jc w:val="both"/>
              <w:rPr>
                <w:sz w:val="18"/>
                <w:szCs w:val="18"/>
              </w:rPr>
            </w:pPr>
            <w:r w:rsidRPr="008B43F6">
              <w:rPr>
                <w:sz w:val="18"/>
                <w:szCs w:val="18"/>
              </w:rPr>
              <w:t>32°</w:t>
            </w:r>
          </w:p>
        </w:tc>
      </w:tr>
      <w:tr w:rsidR="003C4961" w:rsidRPr="008B43F6" w:rsidTr="003C4961">
        <w:trPr>
          <w:jc w:val="center"/>
        </w:trPr>
        <w:tc>
          <w:tcPr>
            <w:tcW w:w="1166" w:type="dxa"/>
            <w:tcBorders>
              <w:top w:val="single" w:sz="4" w:space="0" w:color="A6A6A6" w:themeColor="background1" w:themeShade="A6"/>
              <w:left w:val="single" w:sz="4" w:space="0" w:color="auto"/>
              <w:bottom w:val="single" w:sz="4" w:space="0" w:color="auto"/>
              <w:right w:val="single" w:sz="4" w:space="0" w:color="auto"/>
            </w:tcBorders>
            <w:hideMark/>
          </w:tcPr>
          <w:p w:rsidR="003C4961" w:rsidRPr="008B43F6" w:rsidRDefault="003C4961" w:rsidP="00C12621">
            <w:pPr>
              <w:spacing w:line="276" w:lineRule="auto"/>
              <w:jc w:val="both"/>
              <w:rPr>
                <w:sz w:val="18"/>
                <w:szCs w:val="18"/>
              </w:rPr>
            </w:pPr>
            <w:r w:rsidRPr="008B43F6">
              <w:rPr>
                <w:sz w:val="18"/>
                <w:szCs w:val="18"/>
              </w:rPr>
              <w:t xml:space="preserve">1 F </w:t>
            </w:r>
          </w:p>
        </w:tc>
        <w:tc>
          <w:tcPr>
            <w:tcW w:w="1559" w:type="dxa"/>
            <w:tcBorders>
              <w:top w:val="single" w:sz="4" w:space="0" w:color="A6A6A6" w:themeColor="background1" w:themeShade="A6"/>
              <w:left w:val="single" w:sz="4" w:space="0" w:color="auto"/>
              <w:bottom w:val="single" w:sz="4" w:space="0" w:color="auto"/>
              <w:right w:val="single" w:sz="4" w:space="0" w:color="auto"/>
            </w:tcBorders>
            <w:hideMark/>
          </w:tcPr>
          <w:p w:rsidR="003C4961" w:rsidRPr="008B43F6" w:rsidRDefault="003C4961" w:rsidP="00C12621">
            <w:pPr>
              <w:spacing w:line="276" w:lineRule="auto"/>
              <w:jc w:val="both"/>
              <w:rPr>
                <w:sz w:val="18"/>
                <w:szCs w:val="18"/>
              </w:rPr>
            </w:pPr>
            <w:r w:rsidRPr="008B43F6">
              <w:rPr>
                <w:sz w:val="18"/>
                <w:szCs w:val="18"/>
              </w:rPr>
              <w:t>33°</w:t>
            </w:r>
          </w:p>
        </w:tc>
      </w:tr>
    </w:tbl>
    <w:p w:rsidR="003C4961" w:rsidRPr="008B43F6" w:rsidRDefault="003C4961" w:rsidP="00C12621">
      <w:pPr>
        <w:pStyle w:val="Prrafodelista"/>
        <w:numPr>
          <w:ilvl w:val="0"/>
          <w:numId w:val="44"/>
        </w:numPr>
        <w:jc w:val="both"/>
      </w:pPr>
    </w:p>
    <w:p w:rsidR="003C4961" w:rsidRPr="008B43F6" w:rsidRDefault="003C4961" w:rsidP="00C12621">
      <w:pPr>
        <w:pStyle w:val="Prrafodelista"/>
        <w:numPr>
          <w:ilvl w:val="1"/>
          <w:numId w:val="44"/>
        </w:numPr>
        <w:jc w:val="both"/>
        <w:rPr>
          <w:b/>
        </w:rPr>
      </w:pPr>
      <w:r w:rsidRPr="008B43F6">
        <w:rPr>
          <w:b/>
        </w:rPr>
        <w:t>Por año (para los seis años del programa)</w:t>
      </w:r>
    </w:p>
    <w:p w:rsidR="003C4961" w:rsidRPr="008B43F6" w:rsidRDefault="003C4961" w:rsidP="00C12621">
      <w:pPr>
        <w:pStyle w:val="Prrafodelista"/>
        <w:ind w:left="1440"/>
        <w:jc w:val="both"/>
        <w:rPr>
          <w:b/>
        </w:rPr>
      </w:pPr>
    </w:p>
    <w:p w:rsidR="003C4961" w:rsidRPr="008B43F6" w:rsidRDefault="003C4961" w:rsidP="00C12621">
      <w:pPr>
        <w:pStyle w:val="Prrafodelista"/>
        <w:numPr>
          <w:ilvl w:val="0"/>
          <w:numId w:val="44"/>
        </w:numPr>
        <w:jc w:val="both"/>
        <w:rPr>
          <w:b/>
        </w:rPr>
      </w:pPr>
      <w:r w:rsidRPr="008B43F6">
        <w:rPr>
          <w:b/>
        </w:rPr>
        <w:t>Se establece el ahorro de energía unitario por decil de ingreso , por región y por energético (electricidad, gas y leña)</w:t>
      </w:r>
    </w:p>
    <w:p w:rsidR="003C4961" w:rsidRPr="008B43F6" w:rsidRDefault="003C4961" w:rsidP="00C12621">
      <w:pPr>
        <w:pStyle w:val="Prrafodelista"/>
        <w:numPr>
          <w:ilvl w:val="1"/>
          <w:numId w:val="44"/>
        </w:numPr>
        <w:jc w:val="both"/>
        <w:rPr>
          <w:b/>
        </w:rPr>
      </w:pPr>
      <w:r w:rsidRPr="008B43F6">
        <w:rPr>
          <w:b/>
        </w:rPr>
        <w:lastRenderedPageBreak/>
        <w:t>Se estiman consumos unitarios  por decil de ingreso , por región y por energético. Estos estimados se calibran al agregan en valores por energético que se comparan con los valores agregados que muestra las estadísticas nacionales (en este caso el Balance Nacional de Energía).</w:t>
      </w:r>
    </w:p>
    <w:p w:rsidR="003C4961" w:rsidRPr="008B43F6" w:rsidRDefault="003C4961" w:rsidP="00C12621">
      <w:pPr>
        <w:pStyle w:val="Prrafodelista"/>
        <w:numPr>
          <w:ilvl w:val="1"/>
          <w:numId w:val="44"/>
        </w:numPr>
        <w:jc w:val="both"/>
        <w:rPr>
          <w:b/>
        </w:rPr>
      </w:pPr>
      <w:r w:rsidRPr="008B43F6">
        <w:rPr>
          <w:b/>
        </w:rPr>
        <w:t>Se identifican las tecnologías a ser aplicadas y se definen sus costos y sus ahorros unitarios por decil de ingreso , por región y por energético.</w:t>
      </w:r>
    </w:p>
    <w:p w:rsidR="003C4961" w:rsidRDefault="003C4961" w:rsidP="00C12621">
      <w:pPr>
        <w:pStyle w:val="Prrafodelista"/>
        <w:numPr>
          <w:ilvl w:val="1"/>
          <w:numId w:val="44"/>
        </w:numPr>
        <w:jc w:val="both"/>
        <w:rPr>
          <w:b/>
        </w:rPr>
      </w:pPr>
      <w:r w:rsidRPr="008B43F6">
        <w:rPr>
          <w:b/>
        </w:rPr>
        <w:t>Se establecen los ahorros en función del diferencial entre los estimados de consumo actual y los que se logran con los ahorros</w:t>
      </w:r>
    </w:p>
    <w:p w:rsidR="00EA15E2" w:rsidRPr="008B43F6" w:rsidRDefault="00EA15E2" w:rsidP="00EA15E2">
      <w:pPr>
        <w:pStyle w:val="Prrafodelista"/>
        <w:ind w:left="1440"/>
        <w:jc w:val="both"/>
        <w:rPr>
          <w:b/>
        </w:rPr>
      </w:pPr>
    </w:p>
    <w:p w:rsidR="003C4961" w:rsidRPr="008B43F6" w:rsidRDefault="003C4961" w:rsidP="00C12621">
      <w:pPr>
        <w:pStyle w:val="Prrafodelista"/>
        <w:numPr>
          <w:ilvl w:val="0"/>
          <w:numId w:val="44"/>
        </w:numPr>
        <w:jc w:val="both"/>
        <w:rPr>
          <w:b/>
        </w:rPr>
      </w:pPr>
      <w:r w:rsidRPr="008B43F6">
        <w:rPr>
          <w:b/>
        </w:rPr>
        <w:t xml:space="preserve">Se definen los costos unitarios de la tecnología utilizada. </w:t>
      </w:r>
      <w:r w:rsidRPr="008B43F6">
        <w:t>Las tecnologías consideradas son:</w:t>
      </w:r>
    </w:p>
    <w:tbl>
      <w:tblPr>
        <w:tblStyle w:val="Sombreadomedio1-nfasis1"/>
        <w:tblW w:w="678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20"/>
        <w:gridCol w:w="1447"/>
        <w:gridCol w:w="1211"/>
        <w:gridCol w:w="1211"/>
      </w:tblGrid>
      <w:tr w:rsidR="003C4961" w:rsidRPr="008B43F6" w:rsidTr="00EA15E2">
        <w:trPr>
          <w:cnfStyle w:val="100000000000" w:firstRow="1" w:lastRow="0" w:firstColumn="0" w:lastColumn="0" w:oddVBand="0" w:evenVBand="0" w:oddHBand="0" w:evenHBand="0" w:firstRowFirstColumn="0" w:firstRowLastColumn="0" w:lastRowFirstColumn="0" w:lastRowLastColumn="0"/>
          <w:trHeight w:val="753"/>
          <w:jc w:val="center"/>
        </w:trPr>
        <w:tc>
          <w:tcPr>
            <w:cnfStyle w:val="001000000000" w:firstRow="0" w:lastRow="0" w:firstColumn="1" w:lastColumn="0" w:oddVBand="0" w:evenVBand="0" w:oddHBand="0" w:evenHBand="0" w:firstRowFirstColumn="0" w:firstRowLastColumn="0" w:lastRowFirstColumn="0" w:lastRowLastColumn="0"/>
            <w:tcW w:w="2920" w:type="dxa"/>
            <w:noWrap/>
            <w:hideMark/>
          </w:tcPr>
          <w:p w:rsidR="003C4961" w:rsidRPr="008B43F6" w:rsidRDefault="003C4961" w:rsidP="00C12621">
            <w:pPr>
              <w:spacing w:line="276" w:lineRule="auto"/>
              <w:jc w:val="both"/>
              <w:rPr>
                <w:rFonts w:eastAsia="Times New Roman" w:cs="Times New Roman"/>
                <w:b w:val="0"/>
                <w:bCs w:val="0"/>
                <w:sz w:val="18"/>
                <w:szCs w:val="18"/>
                <w:lang w:eastAsia="es-MX"/>
              </w:rPr>
            </w:pPr>
            <w:r w:rsidRPr="008B43F6">
              <w:rPr>
                <w:rFonts w:eastAsia="Times New Roman" w:cs="Times New Roman"/>
                <w:b w:val="0"/>
                <w:bCs w:val="0"/>
                <w:sz w:val="18"/>
                <w:szCs w:val="18"/>
                <w:lang w:eastAsia="es-MX"/>
              </w:rPr>
              <w:t> </w:t>
            </w:r>
          </w:p>
        </w:tc>
        <w:tc>
          <w:tcPr>
            <w:tcW w:w="1447" w:type="dxa"/>
            <w:hideMark/>
          </w:tcPr>
          <w:p w:rsidR="003C4961" w:rsidRPr="008B43F6" w:rsidRDefault="003C4961" w:rsidP="00C12621">
            <w:pPr>
              <w:spacing w:line="276" w:lineRule="auto"/>
              <w:jc w:val="both"/>
              <w:cnfStyle w:val="100000000000" w:firstRow="1" w:lastRow="0" w:firstColumn="0" w:lastColumn="0" w:oddVBand="0" w:evenVBand="0" w:oddHBand="0" w:evenHBand="0" w:firstRowFirstColumn="0" w:firstRowLastColumn="0" w:lastRowFirstColumn="0" w:lastRowLastColumn="0"/>
              <w:rPr>
                <w:rFonts w:eastAsia="Times New Roman" w:cs="Times New Roman"/>
                <w:bCs w:val="0"/>
                <w:sz w:val="18"/>
                <w:szCs w:val="18"/>
                <w:lang w:eastAsia="es-MX"/>
              </w:rPr>
            </w:pPr>
            <w:r w:rsidRPr="008B43F6">
              <w:rPr>
                <w:rFonts w:eastAsia="Times New Roman" w:cs="Times New Roman"/>
                <w:bCs w:val="0"/>
                <w:sz w:val="18"/>
                <w:szCs w:val="18"/>
                <w:lang w:eastAsia="es-MX"/>
              </w:rPr>
              <w:t>Convencional</w:t>
            </w:r>
          </w:p>
          <w:p w:rsidR="003C4961" w:rsidRPr="008B43F6" w:rsidRDefault="003C4961" w:rsidP="00C12621">
            <w:pPr>
              <w:spacing w:line="276" w:lineRule="auto"/>
              <w:jc w:val="both"/>
              <w:cnfStyle w:val="100000000000" w:firstRow="1" w:lastRow="0" w:firstColumn="0" w:lastColumn="0" w:oddVBand="0" w:evenVBand="0" w:oddHBand="0" w:evenHBand="0" w:firstRowFirstColumn="0" w:firstRowLastColumn="0" w:lastRowFirstColumn="0" w:lastRowLastColumn="0"/>
              <w:rPr>
                <w:rFonts w:eastAsia="Times New Roman" w:cs="Times New Roman"/>
                <w:bCs w:val="0"/>
                <w:sz w:val="18"/>
                <w:szCs w:val="18"/>
                <w:lang w:eastAsia="es-MX"/>
              </w:rPr>
            </w:pPr>
            <w:r w:rsidRPr="008B43F6">
              <w:rPr>
                <w:rFonts w:eastAsia="Times New Roman" w:cs="Times New Roman"/>
                <w:bCs w:val="0"/>
                <w:sz w:val="18"/>
                <w:szCs w:val="18"/>
                <w:lang w:eastAsia="es-MX"/>
              </w:rPr>
              <w:t>(Pesos)</w:t>
            </w:r>
          </w:p>
        </w:tc>
        <w:tc>
          <w:tcPr>
            <w:tcW w:w="1211" w:type="dxa"/>
            <w:hideMark/>
          </w:tcPr>
          <w:p w:rsidR="003C4961" w:rsidRPr="008B43F6" w:rsidRDefault="003C4961" w:rsidP="00C12621">
            <w:pPr>
              <w:spacing w:line="276" w:lineRule="auto"/>
              <w:jc w:val="both"/>
              <w:cnfStyle w:val="100000000000" w:firstRow="1" w:lastRow="0" w:firstColumn="0" w:lastColumn="0" w:oddVBand="0" w:evenVBand="0" w:oddHBand="0" w:evenHBand="0" w:firstRowFirstColumn="0" w:firstRowLastColumn="0" w:lastRowFirstColumn="0" w:lastRowLastColumn="0"/>
              <w:rPr>
                <w:rFonts w:eastAsia="Times New Roman" w:cs="Times New Roman"/>
                <w:bCs w:val="0"/>
                <w:sz w:val="18"/>
                <w:szCs w:val="18"/>
                <w:lang w:eastAsia="es-MX"/>
              </w:rPr>
            </w:pPr>
            <w:r w:rsidRPr="008B43F6">
              <w:rPr>
                <w:rFonts w:eastAsia="Times New Roman" w:cs="Times New Roman"/>
                <w:bCs w:val="0"/>
                <w:sz w:val="18"/>
                <w:szCs w:val="18"/>
                <w:lang w:eastAsia="es-MX"/>
              </w:rPr>
              <w:t xml:space="preserve">Eficiente (nuevo) </w:t>
            </w:r>
          </w:p>
          <w:p w:rsidR="003C4961" w:rsidRPr="008B43F6" w:rsidRDefault="003C4961" w:rsidP="00C12621">
            <w:pPr>
              <w:spacing w:line="276" w:lineRule="auto"/>
              <w:jc w:val="both"/>
              <w:cnfStyle w:val="100000000000" w:firstRow="1" w:lastRow="0" w:firstColumn="0" w:lastColumn="0" w:oddVBand="0" w:evenVBand="0" w:oddHBand="0" w:evenHBand="0" w:firstRowFirstColumn="0" w:firstRowLastColumn="0" w:lastRowFirstColumn="0" w:lastRowLastColumn="0"/>
              <w:rPr>
                <w:rFonts w:eastAsia="Times New Roman" w:cs="Times New Roman"/>
                <w:bCs w:val="0"/>
                <w:sz w:val="18"/>
                <w:szCs w:val="18"/>
                <w:lang w:eastAsia="es-MX"/>
              </w:rPr>
            </w:pPr>
            <w:r w:rsidRPr="008B43F6">
              <w:rPr>
                <w:rFonts w:eastAsia="Times New Roman" w:cs="Times New Roman"/>
                <w:bCs w:val="0"/>
                <w:sz w:val="18"/>
                <w:szCs w:val="18"/>
                <w:lang w:eastAsia="es-MX"/>
              </w:rPr>
              <w:t>(Pesos)</w:t>
            </w:r>
          </w:p>
        </w:tc>
        <w:tc>
          <w:tcPr>
            <w:tcW w:w="1211" w:type="dxa"/>
            <w:hideMark/>
          </w:tcPr>
          <w:p w:rsidR="003C4961" w:rsidRPr="008B43F6" w:rsidRDefault="003C4961" w:rsidP="00C12621">
            <w:pPr>
              <w:spacing w:line="276" w:lineRule="auto"/>
              <w:jc w:val="both"/>
              <w:cnfStyle w:val="100000000000" w:firstRow="1" w:lastRow="0" w:firstColumn="0" w:lastColumn="0" w:oddVBand="0" w:evenVBand="0" w:oddHBand="0" w:evenHBand="0" w:firstRowFirstColumn="0" w:firstRowLastColumn="0" w:lastRowFirstColumn="0" w:lastRowLastColumn="0"/>
              <w:rPr>
                <w:rFonts w:eastAsia="Times New Roman" w:cs="Times New Roman"/>
                <w:bCs w:val="0"/>
                <w:sz w:val="18"/>
                <w:szCs w:val="18"/>
                <w:lang w:eastAsia="es-MX"/>
              </w:rPr>
            </w:pPr>
            <w:r w:rsidRPr="008B43F6">
              <w:rPr>
                <w:rFonts w:eastAsia="Times New Roman" w:cs="Times New Roman"/>
                <w:bCs w:val="0"/>
                <w:sz w:val="18"/>
                <w:szCs w:val="18"/>
                <w:lang w:eastAsia="es-MX"/>
              </w:rPr>
              <w:t>Diferencia</w:t>
            </w:r>
          </w:p>
        </w:tc>
      </w:tr>
      <w:tr w:rsidR="003C4961" w:rsidRPr="008B43F6" w:rsidTr="003C496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20" w:type="dxa"/>
            <w:tcBorders>
              <w:right w:val="none" w:sz="0" w:space="0" w:color="auto"/>
            </w:tcBorders>
            <w:shd w:val="clear" w:color="auto" w:fill="FFFFFF" w:themeFill="background1"/>
            <w:hideMark/>
          </w:tcPr>
          <w:p w:rsidR="003C4961" w:rsidRPr="008B43F6" w:rsidRDefault="003C4961" w:rsidP="00C12621">
            <w:pPr>
              <w:spacing w:line="276" w:lineRule="auto"/>
              <w:jc w:val="both"/>
              <w:rPr>
                <w:rFonts w:eastAsia="Times New Roman" w:cs="Times New Roman"/>
                <w:b w:val="0"/>
                <w:bCs w:val="0"/>
                <w:sz w:val="18"/>
                <w:szCs w:val="18"/>
                <w:lang w:eastAsia="es-MX"/>
              </w:rPr>
            </w:pPr>
            <w:r w:rsidRPr="008B43F6">
              <w:rPr>
                <w:rFonts w:eastAsia="Times New Roman" w:cs="Times New Roman"/>
                <w:b w:val="0"/>
                <w:bCs w:val="0"/>
                <w:sz w:val="18"/>
                <w:szCs w:val="18"/>
                <w:lang w:eastAsia="es-MX"/>
              </w:rPr>
              <w:t>Refrigerador (eficiente)</w:t>
            </w:r>
          </w:p>
        </w:tc>
        <w:tc>
          <w:tcPr>
            <w:tcW w:w="1447" w:type="dxa"/>
            <w:tcBorders>
              <w:left w:val="none" w:sz="0" w:space="0" w:color="auto"/>
              <w:right w:val="none" w:sz="0" w:space="0" w:color="auto"/>
            </w:tcBorders>
            <w:shd w:val="clear" w:color="auto" w:fill="FFFFFF" w:themeFill="background1"/>
            <w:noWrap/>
            <w:hideMark/>
          </w:tcPr>
          <w:p w:rsidR="003C4961" w:rsidRPr="008B43F6" w:rsidRDefault="003C4961"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8B43F6">
              <w:rPr>
                <w:rFonts w:eastAsia="Times New Roman" w:cs="Times New Roman"/>
                <w:sz w:val="18"/>
                <w:szCs w:val="18"/>
                <w:lang w:eastAsia="es-MX"/>
              </w:rPr>
              <w:t>2,250</w:t>
            </w:r>
          </w:p>
        </w:tc>
        <w:tc>
          <w:tcPr>
            <w:tcW w:w="1211" w:type="dxa"/>
            <w:tcBorders>
              <w:left w:val="none" w:sz="0" w:space="0" w:color="auto"/>
              <w:right w:val="none" w:sz="0" w:space="0" w:color="auto"/>
            </w:tcBorders>
            <w:shd w:val="clear" w:color="auto" w:fill="FFFFFF" w:themeFill="background1"/>
            <w:noWrap/>
            <w:hideMark/>
          </w:tcPr>
          <w:p w:rsidR="003C4961" w:rsidRPr="008B43F6" w:rsidRDefault="003C4961"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8B43F6">
              <w:rPr>
                <w:rFonts w:eastAsia="Times New Roman" w:cs="Times New Roman"/>
                <w:sz w:val="18"/>
                <w:szCs w:val="18"/>
                <w:lang w:eastAsia="es-MX"/>
              </w:rPr>
              <w:t>4,500</w:t>
            </w:r>
          </w:p>
        </w:tc>
        <w:tc>
          <w:tcPr>
            <w:tcW w:w="1211" w:type="dxa"/>
            <w:tcBorders>
              <w:left w:val="none" w:sz="0" w:space="0" w:color="auto"/>
            </w:tcBorders>
            <w:shd w:val="clear" w:color="auto" w:fill="FFFFFF" w:themeFill="background1"/>
            <w:noWrap/>
            <w:hideMark/>
          </w:tcPr>
          <w:p w:rsidR="003C4961" w:rsidRPr="008B43F6" w:rsidRDefault="003C4961"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8"/>
                <w:szCs w:val="18"/>
                <w:lang w:eastAsia="es-MX"/>
              </w:rPr>
            </w:pPr>
            <w:r w:rsidRPr="008B43F6">
              <w:rPr>
                <w:rFonts w:eastAsia="Times New Roman" w:cs="Times New Roman"/>
                <w:b/>
                <w:bCs/>
                <w:sz w:val="18"/>
                <w:szCs w:val="18"/>
                <w:lang w:eastAsia="es-MX"/>
              </w:rPr>
              <w:t>2,250</w:t>
            </w:r>
          </w:p>
        </w:tc>
      </w:tr>
      <w:tr w:rsidR="003C4961" w:rsidRPr="008B43F6" w:rsidTr="003C4961">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20" w:type="dxa"/>
            <w:tcBorders>
              <w:right w:val="none" w:sz="0" w:space="0" w:color="auto"/>
            </w:tcBorders>
            <w:shd w:val="clear" w:color="auto" w:fill="FFFFFF" w:themeFill="background1"/>
            <w:hideMark/>
          </w:tcPr>
          <w:p w:rsidR="003C4961" w:rsidRPr="008B43F6" w:rsidRDefault="003C4961" w:rsidP="00C12621">
            <w:pPr>
              <w:spacing w:line="276" w:lineRule="auto"/>
              <w:jc w:val="both"/>
              <w:rPr>
                <w:rFonts w:eastAsia="Times New Roman" w:cs="Times New Roman"/>
                <w:b w:val="0"/>
                <w:bCs w:val="0"/>
                <w:sz w:val="18"/>
                <w:szCs w:val="18"/>
                <w:lang w:eastAsia="es-MX"/>
              </w:rPr>
            </w:pPr>
            <w:r w:rsidRPr="008B43F6">
              <w:rPr>
                <w:rFonts w:eastAsia="Times New Roman" w:cs="Times New Roman"/>
                <w:b w:val="0"/>
                <w:bCs w:val="0"/>
                <w:sz w:val="18"/>
                <w:szCs w:val="18"/>
                <w:lang w:eastAsia="es-MX"/>
              </w:rPr>
              <w:t>Lavadora (eficiente)</w:t>
            </w:r>
          </w:p>
        </w:tc>
        <w:tc>
          <w:tcPr>
            <w:tcW w:w="1447" w:type="dxa"/>
            <w:tcBorders>
              <w:left w:val="none" w:sz="0" w:space="0" w:color="auto"/>
              <w:right w:val="none" w:sz="0" w:space="0" w:color="auto"/>
            </w:tcBorders>
            <w:shd w:val="clear" w:color="auto" w:fill="FFFFFF" w:themeFill="background1"/>
            <w:noWrap/>
            <w:hideMark/>
          </w:tcPr>
          <w:p w:rsidR="003C4961" w:rsidRPr="008B43F6" w:rsidRDefault="003C4961" w:rsidP="00C12621">
            <w:pPr>
              <w:spacing w:line="276" w:lineRule="auto"/>
              <w:jc w:val="both"/>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lang w:eastAsia="es-MX"/>
              </w:rPr>
            </w:pPr>
            <w:r w:rsidRPr="008B43F6">
              <w:rPr>
                <w:rFonts w:eastAsia="Times New Roman" w:cs="Times New Roman"/>
                <w:sz w:val="18"/>
                <w:szCs w:val="18"/>
                <w:lang w:eastAsia="es-MX"/>
              </w:rPr>
              <w:t>2,000</w:t>
            </w:r>
          </w:p>
        </w:tc>
        <w:tc>
          <w:tcPr>
            <w:tcW w:w="1211" w:type="dxa"/>
            <w:tcBorders>
              <w:left w:val="none" w:sz="0" w:space="0" w:color="auto"/>
              <w:right w:val="none" w:sz="0" w:space="0" w:color="auto"/>
            </w:tcBorders>
            <w:shd w:val="clear" w:color="auto" w:fill="FFFFFF" w:themeFill="background1"/>
            <w:noWrap/>
            <w:hideMark/>
          </w:tcPr>
          <w:p w:rsidR="003C4961" w:rsidRPr="008B43F6" w:rsidRDefault="003C4961" w:rsidP="00C12621">
            <w:pPr>
              <w:spacing w:line="276" w:lineRule="auto"/>
              <w:jc w:val="both"/>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lang w:eastAsia="es-MX"/>
              </w:rPr>
            </w:pPr>
            <w:r w:rsidRPr="008B43F6">
              <w:rPr>
                <w:rFonts w:eastAsia="Times New Roman" w:cs="Times New Roman"/>
                <w:sz w:val="18"/>
                <w:szCs w:val="18"/>
                <w:lang w:eastAsia="es-MX"/>
              </w:rPr>
              <w:t>5,000</w:t>
            </w:r>
          </w:p>
        </w:tc>
        <w:tc>
          <w:tcPr>
            <w:tcW w:w="1211" w:type="dxa"/>
            <w:tcBorders>
              <w:left w:val="none" w:sz="0" w:space="0" w:color="auto"/>
            </w:tcBorders>
            <w:shd w:val="clear" w:color="auto" w:fill="FFFFFF" w:themeFill="background1"/>
            <w:noWrap/>
            <w:hideMark/>
          </w:tcPr>
          <w:p w:rsidR="003C4961" w:rsidRPr="008B43F6" w:rsidRDefault="003C4961" w:rsidP="00C12621">
            <w:pPr>
              <w:spacing w:line="276" w:lineRule="auto"/>
              <w:jc w:val="both"/>
              <w:cnfStyle w:val="000000010000" w:firstRow="0" w:lastRow="0" w:firstColumn="0" w:lastColumn="0" w:oddVBand="0" w:evenVBand="0" w:oddHBand="0" w:evenHBand="1" w:firstRowFirstColumn="0" w:firstRowLastColumn="0" w:lastRowFirstColumn="0" w:lastRowLastColumn="0"/>
              <w:rPr>
                <w:rFonts w:eastAsia="Times New Roman" w:cs="Times New Roman"/>
                <w:b/>
                <w:bCs/>
                <w:sz w:val="18"/>
                <w:szCs w:val="18"/>
                <w:lang w:eastAsia="es-MX"/>
              </w:rPr>
            </w:pPr>
            <w:r w:rsidRPr="008B43F6">
              <w:rPr>
                <w:rFonts w:eastAsia="Times New Roman" w:cs="Times New Roman"/>
                <w:b/>
                <w:bCs/>
                <w:sz w:val="18"/>
                <w:szCs w:val="18"/>
                <w:lang w:eastAsia="es-MX"/>
              </w:rPr>
              <w:t>3,000</w:t>
            </w:r>
          </w:p>
        </w:tc>
      </w:tr>
      <w:tr w:rsidR="003C4961" w:rsidRPr="008B43F6" w:rsidTr="003C4961">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920" w:type="dxa"/>
            <w:tcBorders>
              <w:right w:val="none" w:sz="0" w:space="0" w:color="auto"/>
            </w:tcBorders>
            <w:shd w:val="clear" w:color="auto" w:fill="FFFFFF" w:themeFill="background1"/>
            <w:hideMark/>
          </w:tcPr>
          <w:p w:rsidR="003C4961" w:rsidRPr="008B43F6" w:rsidRDefault="003C4961" w:rsidP="00C12621">
            <w:pPr>
              <w:spacing w:line="276" w:lineRule="auto"/>
              <w:jc w:val="both"/>
              <w:rPr>
                <w:rFonts w:eastAsia="Times New Roman" w:cs="Times New Roman"/>
                <w:b w:val="0"/>
                <w:bCs w:val="0"/>
                <w:sz w:val="18"/>
                <w:szCs w:val="18"/>
                <w:lang w:eastAsia="es-MX"/>
              </w:rPr>
            </w:pPr>
            <w:r w:rsidRPr="008B43F6">
              <w:rPr>
                <w:rFonts w:eastAsia="Times New Roman" w:cs="Times New Roman"/>
                <w:b w:val="0"/>
                <w:bCs w:val="0"/>
                <w:sz w:val="18"/>
                <w:szCs w:val="18"/>
                <w:lang w:eastAsia="es-MX"/>
              </w:rPr>
              <w:t>Lámpara Fluorescente Compacta</w:t>
            </w:r>
          </w:p>
        </w:tc>
        <w:tc>
          <w:tcPr>
            <w:tcW w:w="1447" w:type="dxa"/>
            <w:tcBorders>
              <w:left w:val="none" w:sz="0" w:space="0" w:color="auto"/>
              <w:right w:val="none" w:sz="0" w:space="0" w:color="auto"/>
            </w:tcBorders>
            <w:shd w:val="clear" w:color="auto" w:fill="FFFFFF" w:themeFill="background1"/>
            <w:noWrap/>
            <w:hideMark/>
          </w:tcPr>
          <w:p w:rsidR="003C4961" w:rsidRPr="008B43F6" w:rsidRDefault="003C4961"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8B43F6">
              <w:rPr>
                <w:rFonts w:eastAsia="Times New Roman" w:cs="Times New Roman"/>
                <w:sz w:val="18"/>
                <w:szCs w:val="18"/>
                <w:lang w:eastAsia="es-MX"/>
              </w:rPr>
              <w:t>3</w:t>
            </w:r>
          </w:p>
        </w:tc>
        <w:tc>
          <w:tcPr>
            <w:tcW w:w="1211" w:type="dxa"/>
            <w:tcBorders>
              <w:left w:val="none" w:sz="0" w:space="0" w:color="auto"/>
              <w:right w:val="none" w:sz="0" w:space="0" w:color="auto"/>
            </w:tcBorders>
            <w:shd w:val="clear" w:color="auto" w:fill="FFFFFF" w:themeFill="background1"/>
            <w:noWrap/>
            <w:hideMark/>
          </w:tcPr>
          <w:p w:rsidR="003C4961" w:rsidRPr="008B43F6" w:rsidRDefault="003C4961"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8B43F6">
              <w:rPr>
                <w:rFonts w:eastAsia="Times New Roman" w:cs="Times New Roman"/>
                <w:sz w:val="18"/>
                <w:szCs w:val="18"/>
                <w:lang w:eastAsia="es-MX"/>
              </w:rPr>
              <w:t>50</w:t>
            </w:r>
          </w:p>
        </w:tc>
        <w:tc>
          <w:tcPr>
            <w:tcW w:w="1211" w:type="dxa"/>
            <w:tcBorders>
              <w:left w:val="none" w:sz="0" w:space="0" w:color="auto"/>
            </w:tcBorders>
            <w:shd w:val="clear" w:color="auto" w:fill="FFFFFF" w:themeFill="background1"/>
            <w:noWrap/>
            <w:hideMark/>
          </w:tcPr>
          <w:p w:rsidR="003C4961" w:rsidRPr="008B43F6" w:rsidRDefault="003C4961"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8"/>
                <w:szCs w:val="18"/>
                <w:lang w:eastAsia="es-MX"/>
              </w:rPr>
            </w:pPr>
            <w:r w:rsidRPr="008B43F6">
              <w:rPr>
                <w:rFonts w:eastAsia="Times New Roman" w:cs="Times New Roman"/>
                <w:b/>
                <w:bCs/>
                <w:sz w:val="18"/>
                <w:szCs w:val="18"/>
                <w:lang w:eastAsia="es-MX"/>
              </w:rPr>
              <w:t>47</w:t>
            </w:r>
          </w:p>
        </w:tc>
      </w:tr>
      <w:tr w:rsidR="003C4961" w:rsidRPr="008B43F6" w:rsidTr="003C4961">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20" w:type="dxa"/>
            <w:tcBorders>
              <w:right w:val="none" w:sz="0" w:space="0" w:color="auto"/>
            </w:tcBorders>
            <w:shd w:val="clear" w:color="auto" w:fill="FFFFFF" w:themeFill="background1"/>
            <w:hideMark/>
          </w:tcPr>
          <w:p w:rsidR="003C4961" w:rsidRPr="008B43F6" w:rsidRDefault="003C4961" w:rsidP="00C12621">
            <w:pPr>
              <w:spacing w:line="276" w:lineRule="auto"/>
              <w:jc w:val="both"/>
              <w:rPr>
                <w:rFonts w:eastAsia="Times New Roman" w:cs="Times New Roman"/>
                <w:b w:val="0"/>
                <w:bCs w:val="0"/>
                <w:sz w:val="18"/>
                <w:szCs w:val="18"/>
                <w:lang w:eastAsia="es-MX"/>
              </w:rPr>
            </w:pPr>
            <w:r w:rsidRPr="008B43F6">
              <w:rPr>
                <w:rFonts w:eastAsia="Times New Roman" w:cs="Times New Roman"/>
                <w:b w:val="0"/>
                <w:bCs w:val="0"/>
                <w:sz w:val="18"/>
                <w:szCs w:val="18"/>
                <w:lang w:eastAsia="es-MX"/>
              </w:rPr>
              <w:t xml:space="preserve">Calentador solar </w:t>
            </w:r>
          </w:p>
        </w:tc>
        <w:tc>
          <w:tcPr>
            <w:tcW w:w="1447" w:type="dxa"/>
            <w:tcBorders>
              <w:left w:val="none" w:sz="0" w:space="0" w:color="auto"/>
              <w:right w:val="none" w:sz="0" w:space="0" w:color="auto"/>
            </w:tcBorders>
            <w:shd w:val="clear" w:color="auto" w:fill="FFFFFF" w:themeFill="background1"/>
            <w:noWrap/>
            <w:hideMark/>
          </w:tcPr>
          <w:p w:rsidR="003C4961" w:rsidRPr="008B43F6" w:rsidRDefault="003C4961" w:rsidP="00C12621">
            <w:pPr>
              <w:spacing w:line="276" w:lineRule="auto"/>
              <w:jc w:val="both"/>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lang w:eastAsia="es-MX"/>
              </w:rPr>
            </w:pPr>
            <w:r w:rsidRPr="008B43F6">
              <w:rPr>
                <w:rFonts w:eastAsia="Times New Roman" w:cs="Times New Roman"/>
                <w:sz w:val="18"/>
                <w:szCs w:val="18"/>
                <w:lang w:eastAsia="es-MX"/>
              </w:rPr>
              <w:t>-</w:t>
            </w:r>
          </w:p>
        </w:tc>
        <w:tc>
          <w:tcPr>
            <w:tcW w:w="1211" w:type="dxa"/>
            <w:tcBorders>
              <w:left w:val="none" w:sz="0" w:space="0" w:color="auto"/>
              <w:right w:val="none" w:sz="0" w:space="0" w:color="auto"/>
            </w:tcBorders>
            <w:shd w:val="clear" w:color="auto" w:fill="FFFFFF" w:themeFill="background1"/>
            <w:noWrap/>
            <w:hideMark/>
          </w:tcPr>
          <w:p w:rsidR="003C4961" w:rsidRPr="008B43F6" w:rsidRDefault="003C4961" w:rsidP="00C12621">
            <w:pPr>
              <w:spacing w:line="276" w:lineRule="auto"/>
              <w:jc w:val="both"/>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lang w:eastAsia="es-MX"/>
              </w:rPr>
            </w:pPr>
            <w:r w:rsidRPr="008B43F6">
              <w:rPr>
                <w:rFonts w:eastAsia="Times New Roman" w:cs="Times New Roman"/>
                <w:sz w:val="18"/>
                <w:szCs w:val="18"/>
                <w:lang w:eastAsia="es-MX"/>
              </w:rPr>
              <w:t>8,500</w:t>
            </w:r>
          </w:p>
        </w:tc>
        <w:tc>
          <w:tcPr>
            <w:tcW w:w="1211" w:type="dxa"/>
            <w:tcBorders>
              <w:left w:val="none" w:sz="0" w:space="0" w:color="auto"/>
            </w:tcBorders>
            <w:shd w:val="clear" w:color="auto" w:fill="FFFFFF" w:themeFill="background1"/>
            <w:noWrap/>
            <w:hideMark/>
          </w:tcPr>
          <w:p w:rsidR="003C4961" w:rsidRPr="008B43F6" w:rsidRDefault="003C4961" w:rsidP="00C12621">
            <w:pPr>
              <w:spacing w:line="276" w:lineRule="auto"/>
              <w:jc w:val="both"/>
              <w:cnfStyle w:val="000000010000" w:firstRow="0" w:lastRow="0" w:firstColumn="0" w:lastColumn="0" w:oddVBand="0" w:evenVBand="0" w:oddHBand="0" w:evenHBand="1" w:firstRowFirstColumn="0" w:firstRowLastColumn="0" w:lastRowFirstColumn="0" w:lastRowLastColumn="0"/>
              <w:rPr>
                <w:rFonts w:eastAsia="Times New Roman" w:cs="Times New Roman"/>
                <w:b/>
                <w:bCs/>
                <w:sz w:val="18"/>
                <w:szCs w:val="18"/>
                <w:lang w:eastAsia="es-MX"/>
              </w:rPr>
            </w:pPr>
            <w:r w:rsidRPr="008B43F6">
              <w:rPr>
                <w:rFonts w:eastAsia="Times New Roman" w:cs="Times New Roman"/>
                <w:b/>
                <w:bCs/>
                <w:sz w:val="18"/>
                <w:szCs w:val="18"/>
                <w:lang w:eastAsia="es-MX"/>
              </w:rPr>
              <w:t>8,500</w:t>
            </w:r>
          </w:p>
        </w:tc>
      </w:tr>
      <w:tr w:rsidR="003C4961" w:rsidRPr="008B43F6" w:rsidTr="003C496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20" w:type="dxa"/>
            <w:tcBorders>
              <w:right w:val="none" w:sz="0" w:space="0" w:color="auto"/>
            </w:tcBorders>
            <w:shd w:val="clear" w:color="auto" w:fill="FFFFFF" w:themeFill="background1"/>
            <w:hideMark/>
          </w:tcPr>
          <w:p w:rsidR="003C4961" w:rsidRPr="008B43F6" w:rsidRDefault="003C4961" w:rsidP="00C12621">
            <w:pPr>
              <w:spacing w:line="276" w:lineRule="auto"/>
              <w:jc w:val="both"/>
              <w:rPr>
                <w:rFonts w:eastAsia="Times New Roman" w:cs="Times New Roman"/>
                <w:b w:val="0"/>
                <w:bCs w:val="0"/>
                <w:sz w:val="18"/>
                <w:szCs w:val="18"/>
                <w:lang w:eastAsia="es-MX"/>
              </w:rPr>
            </w:pPr>
            <w:r w:rsidRPr="008B43F6">
              <w:rPr>
                <w:rFonts w:eastAsia="Times New Roman" w:cs="Times New Roman"/>
                <w:b w:val="0"/>
                <w:bCs w:val="0"/>
                <w:sz w:val="18"/>
                <w:szCs w:val="18"/>
                <w:lang w:eastAsia="es-MX"/>
              </w:rPr>
              <w:t>Estufa gas</w:t>
            </w:r>
          </w:p>
        </w:tc>
        <w:tc>
          <w:tcPr>
            <w:tcW w:w="1447" w:type="dxa"/>
            <w:tcBorders>
              <w:left w:val="none" w:sz="0" w:space="0" w:color="auto"/>
              <w:right w:val="none" w:sz="0" w:space="0" w:color="auto"/>
            </w:tcBorders>
            <w:shd w:val="clear" w:color="auto" w:fill="FFFFFF" w:themeFill="background1"/>
            <w:noWrap/>
            <w:hideMark/>
          </w:tcPr>
          <w:p w:rsidR="003C4961" w:rsidRPr="008B43F6" w:rsidRDefault="003C4961"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8B43F6">
              <w:rPr>
                <w:rFonts w:eastAsia="Times New Roman" w:cs="Times New Roman"/>
                <w:sz w:val="18"/>
                <w:szCs w:val="18"/>
                <w:lang w:eastAsia="es-MX"/>
              </w:rPr>
              <w:t>2,500</w:t>
            </w:r>
          </w:p>
        </w:tc>
        <w:tc>
          <w:tcPr>
            <w:tcW w:w="1211" w:type="dxa"/>
            <w:tcBorders>
              <w:left w:val="none" w:sz="0" w:space="0" w:color="auto"/>
              <w:right w:val="none" w:sz="0" w:space="0" w:color="auto"/>
            </w:tcBorders>
            <w:shd w:val="clear" w:color="auto" w:fill="FFFFFF" w:themeFill="background1"/>
            <w:noWrap/>
            <w:hideMark/>
          </w:tcPr>
          <w:p w:rsidR="003C4961" w:rsidRPr="008B43F6" w:rsidRDefault="003C4961"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8B43F6">
              <w:rPr>
                <w:rFonts w:eastAsia="Times New Roman" w:cs="Times New Roman"/>
                <w:sz w:val="18"/>
                <w:szCs w:val="18"/>
                <w:lang w:eastAsia="es-MX"/>
              </w:rPr>
              <w:t>5,000</w:t>
            </w:r>
          </w:p>
        </w:tc>
        <w:tc>
          <w:tcPr>
            <w:tcW w:w="1211" w:type="dxa"/>
            <w:tcBorders>
              <w:left w:val="none" w:sz="0" w:space="0" w:color="auto"/>
            </w:tcBorders>
            <w:shd w:val="clear" w:color="auto" w:fill="FFFFFF" w:themeFill="background1"/>
            <w:noWrap/>
            <w:hideMark/>
          </w:tcPr>
          <w:p w:rsidR="003C4961" w:rsidRPr="008B43F6" w:rsidRDefault="003C4961"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8"/>
                <w:szCs w:val="18"/>
                <w:lang w:eastAsia="es-MX"/>
              </w:rPr>
            </w:pPr>
            <w:r w:rsidRPr="008B43F6">
              <w:rPr>
                <w:rFonts w:eastAsia="Times New Roman" w:cs="Times New Roman"/>
                <w:b/>
                <w:bCs/>
                <w:sz w:val="18"/>
                <w:szCs w:val="18"/>
                <w:lang w:eastAsia="es-MX"/>
              </w:rPr>
              <w:t>2,500</w:t>
            </w:r>
          </w:p>
        </w:tc>
      </w:tr>
    </w:tbl>
    <w:p w:rsidR="003C4961" w:rsidRPr="008B43F6" w:rsidRDefault="003C4961" w:rsidP="00C12621">
      <w:pPr>
        <w:ind w:left="708" w:firstLine="708"/>
        <w:jc w:val="both"/>
        <w:rPr>
          <w:sz w:val="18"/>
          <w:szCs w:val="18"/>
        </w:rPr>
      </w:pPr>
      <w:r w:rsidRPr="008B43F6">
        <w:rPr>
          <w:sz w:val="18"/>
          <w:szCs w:val="18"/>
        </w:rPr>
        <w:t>Fuente: PROFECO</w:t>
      </w:r>
    </w:p>
    <w:p w:rsidR="003C4961" w:rsidRPr="008B43F6" w:rsidRDefault="003C4961" w:rsidP="00C12621">
      <w:pPr>
        <w:pStyle w:val="Prrafodelista"/>
        <w:jc w:val="both"/>
        <w:rPr>
          <w:b/>
          <w:color w:val="4F81BD" w:themeColor="accent1"/>
        </w:rPr>
      </w:pPr>
    </w:p>
    <w:p w:rsidR="003C4961" w:rsidRPr="008B43F6" w:rsidRDefault="003C4961" w:rsidP="00C12621">
      <w:pPr>
        <w:pStyle w:val="Prrafodelista"/>
        <w:numPr>
          <w:ilvl w:val="0"/>
          <w:numId w:val="44"/>
        </w:numPr>
        <w:jc w:val="both"/>
        <w:rPr>
          <w:b/>
        </w:rPr>
      </w:pPr>
      <w:r w:rsidRPr="008B43F6">
        <w:rPr>
          <w:b/>
        </w:rPr>
        <w:t>Se definen los precios promedio de la energía a ser considerados para  programa.</w:t>
      </w:r>
    </w:p>
    <w:tbl>
      <w:tblPr>
        <w:tblStyle w:val="Sombreadomedio1-nfasis1"/>
        <w:tblW w:w="6380" w:type="dxa"/>
        <w:jc w:val="center"/>
        <w:tblLook w:val="04A0" w:firstRow="1" w:lastRow="0" w:firstColumn="1" w:lastColumn="0" w:noHBand="0" w:noVBand="1"/>
      </w:tblPr>
      <w:tblGrid>
        <w:gridCol w:w="3640"/>
        <w:gridCol w:w="1380"/>
        <w:gridCol w:w="1360"/>
      </w:tblGrid>
      <w:tr w:rsidR="003C4961" w:rsidRPr="008B43F6" w:rsidTr="003C4961">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4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FFFFF" w:themeFill="background1"/>
            <w:noWrap/>
            <w:hideMark/>
          </w:tcPr>
          <w:p w:rsidR="003C4961" w:rsidRPr="008B43F6" w:rsidRDefault="003C4961" w:rsidP="00C12621">
            <w:pPr>
              <w:spacing w:line="276" w:lineRule="auto"/>
              <w:jc w:val="both"/>
              <w:rPr>
                <w:rFonts w:eastAsia="Times New Roman" w:cs="Times New Roman"/>
                <w:color w:val="auto"/>
                <w:sz w:val="18"/>
                <w:szCs w:val="18"/>
                <w:lang w:eastAsia="es-MX"/>
              </w:rPr>
            </w:pPr>
            <w:r w:rsidRPr="008B43F6">
              <w:rPr>
                <w:rFonts w:eastAsia="Times New Roman" w:cs="Times New Roman"/>
                <w:color w:val="auto"/>
                <w:sz w:val="18"/>
                <w:szCs w:val="18"/>
                <w:lang w:eastAsia="es-MX"/>
              </w:rPr>
              <w:t>Electricidad</w:t>
            </w:r>
          </w:p>
        </w:tc>
        <w:tc>
          <w:tcPr>
            <w:tcW w:w="1380" w:type="dxa"/>
            <w:tcBorders>
              <w:top w:val="single" w:sz="4" w:space="0" w:color="A6A6A6" w:themeColor="background1" w:themeShade="A6"/>
              <w:bottom w:val="single" w:sz="4" w:space="0" w:color="A6A6A6" w:themeColor="background1" w:themeShade="A6"/>
            </w:tcBorders>
            <w:shd w:val="clear" w:color="auto" w:fill="FFFFFF" w:themeFill="background1"/>
            <w:noWrap/>
            <w:hideMark/>
          </w:tcPr>
          <w:p w:rsidR="003C4961" w:rsidRPr="008B43F6" w:rsidRDefault="003C4961" w:rsidP="00C12621">
            <w:pPr>
              <w:spacing w:line="276" w:lineRule="auto"/>
              <w:jc w:val="both"/>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auto"/>
                <w:sz w:val="18"/>
                <w:szCs w:val="18"/>
                <w:lang w:eastAsia="es-MX"/>
              </w:rPr>
            </w:pPr>
            <w:r w:rsidRPr="008B43F6">
              <w:rPr>
                <w:rFonts w:eastAsia="Times New Roman" w:cs="Times New Roman"/>
                <w:b w:val="0"/>
                <w:color w:val="auto"/>
                <w:sz w:val="18"/>
                <w:szCs w:val="18"/>
                <w:lang w:eastAsia="es-MX"/>
              </w:rPr>
              <w:t>1.1415</w:t>
            </w:r>
          </w:p>
        </w:tc>
        <w:tc>
          <w:tcPr>
            <w:tcW w:w="136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noWrap/>
            <w:hideMark/>
          </w:tcPr>
          <w:p w:rsidR="003C4961" w:rsidRPr="008B43F6" w:rsidRDefault="003C4961" w:rsidP="00C12621">
            <w:pPr>
              <w:spacing w:line="276" w:lineRule="auto"/>
              <w:jc w:val="both"/>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auto"/>
                <w:sz w:val="18"/>
                <w:szCs w:val="18"/>
                <w:lang w:eastAsia="es-MX"/>
              </w:rPr>
            </w:pPr>
            <w:r w:rsidRPr="008B43F6">
              <w:rPr>
                <w:rFonts w:eastAsia="Times New Roman" w:cs="Times New Roman"/>
                <w:b w:val="0"/>
                <w:color w:val="auto"/>
                <w:sz w:val="18"/>
                <w:szCs w:val="18"/>
                <w:lang w:eastAsia="es-MX"/>
              </w:rPr>
              <w:t xml:space="preserve">$ / kWh </w:t>
            </w:r>
          </w:p>
        </w:tc>
      </w:tr>
      <w:tr w:rsidR="003C4961" w:rsidRPr="008B43F6" w:rsidTr="003C496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4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FFFFF" w:themeFill="background1"/>
            <w:noWrap/>
            <w:hideMark/>
          </w:tcPr>
          <w:p w:rsidR="003C4961" w:rsidRPr="008B43F6" w:rsidRDefault="003C4961" w:rsidP="00C12621">
            <w:pPr>
              <w:spacing w:line="276" w:lineRule="auto"/>
              <w:jc w:val="both"/>
              <w:rPr>
                <w:rFonts w:eastAsia="Times New Roman" w:cs="Times New Roman"/>
                <w:sz w:val="18"/>
                <w:szCs w:val="18"/>
                <w:lang w:eastAsia="es-MX"/>
              </w:rPr>
            </w:pPr>
            <w:r w:rsidRPr="008B43F6">
              <w:rPr>
                <w:rFonts w:eastAsia="Times New Roman" w:cs="Times New Roman"/>
                <w:sz w:val="18"/>
                <w:szCs w:val="18"/>
                <w:lang w:eastAsia="es-MX"/>
              </w:rPr>
              <w:t>Gas</w:t>
            </w:r>
          </w:p>
        </w:tc>
        <w:tc>
          <w:tcPr>
            <w:tcW w:w="1380" w:type="dxa"/>
            <w:tcBorders>
              <w:top w:val="single" w:sz="4" w:space="0" w:color="A6A6A6" w:themeColor="background1" w:themeShade="A6"/>
              <w:bottom w:val="single" w:sz="4" w:space="0" w:color="A6A6A6" w:themeColor="background1" w:themeShade="A6"/>
            </w:tcBorders>
            <w:shd w:val="clear" w:color="auto" w:fill="FFFFFF" w:themeFill="background1"/>
            <w:noWrap/>
            <w:hideMark/>
          </w:tcPr>
          <w:p w:rsidR="003C4961" w:rsidRPr="008B43F6" w:rsidRDefault="003C4961"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8B43F6">
              <w:rPr>
                <w:rFonts w:eastAsia="Times New Roman" w:cs="Times New Roman"/>
                <w:sz w:val="18"/>
                <w:szCs w:val="18"/>
                <w:lang w:eastAsia="es-MX"/>
              </w:rPr>
              <w:t>220.4</w:t>
            </w:r>
          </w:p>
        </w:tc>
        <w:tc>
          <w:tcPr>
            <w:tcW w:w="136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noWrap/>
            <w:hideMark/>
          </w:tcPr>
          <w:p w:rsidR="003C4961" w:rsidRPr="008B43F6" w:rsidRDefault="003C4961"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8B43F6">
              <w:rPr>
                <w:rFonts w:eastAsia="Times New Roman" w:cs="Times New Roman"/>
                <w:sz w:val="18"/>
                <w:szCs w:val="18"/>
                <w:lang w:eastAsia="es-MX"/>
              </w:rPr>
              <w:t>$ / GJ</w:t>
            </w:r>
          </w:p>
        </w:tc>
      </w:tr>
    </w:tbl>
    <w:p w:rsidR="003C4961" w:rsidRPr="008B43F6" w:rsidRDefault="003C4961" w:rsidP="00C12621">
      <w:pPr>
        <w:jc w:val="both"/>
        <w:rPr>
          <w:b/>
        </w:rPr>
      </w:pPr>
    </w:p>
    <w:p w:rsidR="003C4961" w:rsidRPr="008B43F6" w:rsidRDefault="003C4961" w:rsidP="00C12621">
      <w:pPr>
        <w:pStyle w:val="Prrafodelista"/>
        <w:numPr>
          <w:ilvl w:val="0"/>
          <w:numId w:val="44"/>
        </w:numPr>
        <w:jc w:val="both"/>
        <w:rPr>
          <w:b/>
        </w:rPr>
      </w:pPr>
      <w:r w:rsidRPr="008B43F6">
        <w:rPr>
          <w:b/>
        </w:rPr>
        <w:t>Se establecen estimados de empleos por equipo instalado</w:t>
      </w:r>
    </w:p>
    <w:p w:rsidR="003C4961" w:rsidRPr="008B43F6" w:rsidRDefault="003C4961" w:rsidP="00C12621">
      <w:pPr>
        <w:pStyle w:val="Prrafodelista"/>
        <w:jc w:val="both"/>
        <w:rPr>
          <w:b/>
          <w:color w:val="4F81BD" w:themeColor="accent1"/>
          <w:sz w:val="18"/>
          <w:szCs w:val="18"/>
        </w:rPr>
      </w:pPr>
    </w:p>
    <w:tbl>
      <w:tblPr>
        <w:tblStyle w:val="Sombreadomedio1-nfasis1"/>
        <w:tblW w:w="4726"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20"/>
        <w:gridCol w:w="1806"/>
      </w:tblGrid>
      <w:tr w:rsidR="003C4961" w:rsidRPr="008B43F6" w:rsidTr="00EA15E2">
        <w:trPr>
          <w:cnfStyle w:val="100000000000" w:firstRow="1" w:lastRow="0" w:firstColumn="0" w:lastColumn="0" w:oddVBand="0" w:evenVBand="0" w:oddHBand="0" w:evenHBand="0" w:firstRowFirstColumn="0" w:firstRowLastColumn="0" w:lastRowFirstColumn="0" w:lastRowLastColumn="0"/>
          <w:trHeight w:val="751"/>
          <w:jc w:val="center"/>
        </w:trPr>
        <w:tc>
          <w:tcPr>
            <w:cnfStyle w:val="001000000000" w:firstRow="0" w:lastRow="0" w:firstColumn="1" w:lastColumn="0" w:oddVBand="0" w:evenVBand="0" w:oddHBand="0" w:evenHBand="0" w:firstRowFirstColumn="0" w:firstRowLastColumn="0" w:lastRowFirstColumn="0" w:lastRowLastColumn="0"/>
            <w:tcW w:w="2920" w:type="dxa"/>
            <w:noWrap/>
            <w:hideMark/>
          </w:tcPr>
          <w:p w:rsidR="003C4961" w:rsidRPr="008B43F6" w:rsidRDefault="003C4961" w:rsidP="00C12621">
            <w:pPr>
              <w:spacing w:line="276" w:lineRule="auto"/>
              <w:jc w:val="both"/>
              <w:rPr>
                <w:rFonts w:eastAsia="Times New Roman" w:cs="Times New Roman"/>
                <w:bCs w:val="0"/>
                <w:sz w:val="18"/>
                <w:szCs w:val="18"/>
                <w:lang w:eastAsia="es-MX"/>
              </w:rPr>
            </w:pPr>
            <w:r w:rsidRPr="008B43F6">
              <w:rPr>
                <w:rFonts w:eastAsia="Times New Roman" w:cs="Times New Roman"/>
                <w:bCs w:val="0"/>
                <w:sz w:val="18"/>
                <w:szCs w:val="18"/>
                <w:lang w:eastAsia="es-MX"/>
              </w:rPr>
              <w:t> </w:t>
            </w:r>
          </w:p>
        </w:tc>
        <w:tc>
          <w:tcPr>
            <w:tcW w:w="1806" w:type="dxa"/>
            <w:hideMark/>
          </w:tcPr>
          <w:p w:rsidR="003C4961" w:rsidRPr="008B43F6" w:rsidRDefault="003C4961" w:rsidP="00C12621">
            <w:pPr>
              <w:spacing w:line="276" w:lineRule="auto"/>
              <w:jc w:val="both"/>
              <w:cnfStyle w:val="100000000000" w:firstRow="1" w:lastRow="0" w:firstColumn="0" w:lastColumn="0" w:oddVBand="0" w:evenVBand="0" w:oddHBand="0" w:evenHBand="0" w:firstRowFirstColumn="0" w:firstRowLastColumn="0" w:lastRowFirstColumn="0" w:lastRowLastColumn="0"/>
              <w:rPr>
                <w:rFonts w:eastAsia="Times New Roman" w:cs="Times New Roman"/>
                <w:bCs w:val="0"/>
                <w:sz w:val="18"/>
                <w:szCs w:val="18"/>
                <w:lang w:eastAsia="es-MX"/>
              </w:rPr>
            </w:pPr>
            <w:r w:rsidRPr="008B43F6">
              <w:rPr>
                <w:rFonts w:eastAsia="Times New Roman" w:cs="Times New Roman"/>
                <w:bCs w:val="0"/>
                <w:sz w:val="18"/>
                <w:szCs w:val="18"/>
                <w:lang w:eastAsia="es-MX"/>
              </w:rPr>
              <w:t xml:space="preserve">Empleo  (cada mil viviendas / año) </w:t>
            </w:r>
          </w:p>
        </w:tc>
      </w:tr>
      <w:tr w:rsidR="003C4961" w:rsidRPr="008B43F6" w:rsidTr="00EA15E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20" w:type="dxa"/>
            <w:shd w:val="clear" w:color="auto" w:fill="FFFFFF" w:themeFill="background1"/>
            <w:hideMark/>
          </w:tcPr>
          <w:p w:rsidR="003C4961" w:rsidRPr="008B43F6" w:rsidRDefault="003C4961" w:rsidP="00C12621">
            <w:pPr>
              <w:spacing w:line="276" w:lineRule="auto"/>
              <w:jc w:val="both"/>
              <w:rPr>
                <w:rFonts w:eastAsia="Times New Roman" w:cs="Times New Roman"/>
                <w:b w:val="0"/>
                <w:bCs w:val="0"/>
                <w:sz w:val="18"/>
                <w:szCs w:val="18"/>
                <w:lang w:eastAsia="es-MX"/>
              </w:rPr>
            </w:pPr>
            <w:r w:rsidRPr="008B43F6">
              <w:rPr>
                <w:rFonts w:eastAsia="Times New Roman" w:cs="Times New Roman"/>
                <w:b w:val="0"/>
                <w:bCs w:val="0"/>
                <w:sz w:val="18"/>
                <w:szCs w:val="18"/>
                <w:lang w:eastAsia="es-MX"/>
              </w:rPr>
              <w:t>Refrigerador (eficiente)</w:t>
            </w:r>
          </w:p>
        </w:tc>
        <w:tc>
          <w:tcPr>
            <w:tcW w:w="1806" w:type="dxa"/>
            <w:shd w:val="clear" w:color="auto" w:fill="FFFFFF" w:themeFill="background1"/>
            <w:noWrap/>
            <w:hideMark/>
          </w:tcPr>
          <w:p w:rsidR="003C4961" w:rsidRPr="008B43F6" w:rsidRDefault="003C4961"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sz w:val="18"/>
                <w:szCs w:val="18"/>
                <w:lang w:eastAsia="es-MX"/>
              </w:rPr>
            </w:pPr>
            <w:r w:rsidRPr="008B43F6">
              <w:rPr>
                <w:rFonts w:eastAsia="Times New Roman" w:cs="Times New Roman"/>
                <w:b/>
                <w:sz w:val="18"/>
                <w:szCs w:val="18"/>
                <w:lang w:eastAsia="es-MX"/>
              </w:rPr>
              <w:t>1</w:t>
            </w:r>
          </w:p>
        </w:tc>
      </w:tr>
      <w:tr w:rsidR="003C4961" w:rsidRPr="008B43F6" w:rsidTr="00EA15E2">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20" w:type="dxa"/>
            <w:shd w:val="clear" w:color="auto" w:fill="FFFFFF" w:themeFill="background1"/>
            <w:hideMark/>
          </w:tcPr>
          <w:p w:rsidR="003C4961" w:rsidRPr="008B43F6" w:rsidRDefault="003C4961" w:rsidP="00C12621">
            <w:pPr>
              <w:spacing w:line="276" w:lineRule="auto"/>
              <w:jc w:val="both"/>
              <w:rPr>
                <w:rFonts w:eastAsia="Times New Roman" w:cs="Times New Roman"/>
                <w:b w:val="0"/>
                <w:bCs w:val="0"/>
                <w:sz w:val="18"/>
                <w:szCs w:val="18"/>
                <w:lang w:eastAsia="es-MX"/>
              </w:rPr>
            </w:pPr>
            <w:r w:rsidRPr="008B43F6">
              <w:rPr>
                <w:rFonts w:eastAsia="Times New Roman" w:cs="Times New Roman"/>
                <w:b w:val="0"/>
                <w:bCs w:val="0"/>
                <w:sz w:val="18"/>
                <w:szCs w:val="18"/>
                <w:lang w:eastAsia="es-MX"/>
              </w:rPr>
              <w:t>Lavadora (eficiente)</w:t>
            </w:r>
          </w:p>
        </w:tc>
        <w:tc>
          <w:tcPr>
            <w:tcW w:w="1806" w:type="dxa"/>
            <w:shd w:val="clear" w:color="auto" w:fill="FFFFFF" w:themeFill="background1"/>
            <w:noWrap/>
            <w:hideMark/>
          </w:tcPr>
          <w:p w:rsidR="003C4961" w:rsidRPr="008B43F6" w:rsidRDefault="003C4961" w:rsidP="00C12621">
            <w:pPr>
              <w:spacing w:line="276" w:lineRule="auto"/>
              <w:jc w:val="both"/>
              <w:cnfStyle w:val="000000010000" w:firstRow="0" w:lastRow="0" w:firstColumn="0" w:lastColumn="0" w:oddVBand="0" w:evenVBand="0" w:oddHBand="0" w:evenHBand="1" w:firstRowFirstColumn="0" w:firstRowLastColumn="0" w:lastRowFirstColumn="0" w:lastRowLastColumn="0"/>
              <w:rPr>
                <w:rFonts w:eastAsia="Times New Roman" w:cs="Times New Roman"/>
                <w:b/>
                <w:sz w:val="18"/>
                <w:szCs w:val="18"/>
                <w:lang w:eastAsia="es-MX"/>
              </w:rPr>
            </w:pPr>
            <w:r w:rsidRPr="008B43F6">
              <w:rPr>
                <w:rFonts w:eastAsia="Times New Roman" w:cs="Times New Roman"/>
                <w:b/>
                <w:sz w:val="18"/>
                <w:szCs w:val="18"/>
                <w:lang w:eastAsia="es-MX"/>
              </w:rPr>
              <w:t>1</w:t>
            </w:r>
          </w:p>
        </w:tc>
      </w:tr>
      <w:tr w:rsidR="003C4961" w:rsidRPr="008B43F6" w:rsidTr="00EA15E2">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920" w:type="dxa"/>
            <w:shd w:val="clear" w:color="auto" w:fill="FFFFFF" w:themeFill="background1"/>
            <w:hideMark/>
          </w:tcPr>
          <w:p w:rsidR="003C4961" w:rsidRPr="008B43F6" w:rsidRDefault="003C4961" w:rsidP="00C12621">
            <w:pPr>
              <w:spacing w:line="276" w:lineRule="auto"/>
              <w:jc w:val="both"/>
              <w:rPr>
                <w:rFonts w:eastAsia="Times New Roman" w:cs="Times New Roman"/>
                <w:b w:val="0"/>
                <w:bCs w:val="0"/>
                <w:sz w:val="18"/>
                <w:szCs w:val="18"/>
                <w:lang w:eastAsia="es-MX"/>
              </w:rPr>
            </w:pPr>
            <w:r w:rsidRPr="008B43F6">
              <w:rPr>
                <w:rFonts w:eastAsia="Times New Roman" w:cs="Times New Roman"/>
                <w:b w:val="0"/>
                <w:bCs w:val="0"/>
                <w:sz w:val="18"/>
                <w:szCs w:val="18"/>
                <w:lang w:eastAsia="es-MX"/>
              </w:rPr>
              <w:t>Lámpara Fluorescente Compacta</w:t>
            </w:r>
          </w:p>
        </w:tc>
        <w:tc>
          <w:tcPr>
            <w:tcW w:w="1806" w:type="dxa"/>
            <w:shd w:val="clear" w:color="auto" w:fill="FFFFFF" w:themeFill="background1"/>
            <w:noWrap/>
            <w:hideMark/>
          </w:tcPr>
          <w:p w:rsidR="003C4961" w:rsidRPr="008B43F6" w:rsidRDefault="003C4961"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sz w:val="18"/>
                <w:szCs w:val="18"/>
                <w:lang w:eastAsia="es-MX"/>
              </w:rPr>
            </w:pPr>
            <w:r w:rsidRPr="008B43F6">
              <w:rPr>
                <w:rFonts w:eastAsia="Times New Roman" w:cs="Times New Roman"/>
                <w:b/>
                <w:sz w:val="18"/>
                <w:szCs w:val="18"/>
                <w:lang w:eastAsia="es-MX"/>
              </w:rPr>
              <w:t>1</w:t>
            </w:r>
          </w:p>
        </w:tc>
      </w:tr>
      <w:tr w:rsidR="003C4961" w:rsidRPr="008B43F6" w:rsidTr="00EA15E2">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20" w:type="dxa"/>
            <w:shd w:val="clear" w:color="auto" w:fill="FFFFFF" w:themeFill="background1"/>
            <w:hideMark/>
          </w:tcPr>
          <w:p w:rsidR="003C4961" w:rsidRPr="008B43F6" w:rsidRDefault="003C4961" w:rsidP="00C12621">
            <w:pPr>
              <w:spacing w:line="276" w:lineRule="auto"/>
              <w:jc w:val="both"/>
              <w:rPr>
                <w:rFonts w:eastAsia="Times New Roman" w:cs="Times New Roman"/>
                <w:b w:val="0"/>
                <w:bCs w:val="0"/>
                <w:sz w:val="18"/>
                <w:szCs w:val="18"/>
                <w:lang w:eastAsia="es-MX"/>
              </w:rPr>
            </w:pPr>
            <w:r w:rsidRPr="008B43F6">
              <w:rPr>
                <w:rFonts w:eastAsia="Times New Roman" w:cs="Times New Roman"/>
                <w:b w:val="0"/>
                <w:bCs w:val="0"/>
                <w:sz w:val="18"/>
                <w:szCs w:val="18"/>
                <w:lang w:eastAsia="es-MX"/>
              </w:rPr>
              <w:t xml:space="preserve">Calentador solar </w:t>
            </w:r>
          </w:p>
        </w:tc>
        <w:tc>
          <w:tcPr>
            <w:tcW w:w="1806" w:type="dxa"/>
            <w:shd w:val="clear" w:color="auto" w:fill="FFFFFF" w:themeFill="background1"/>
            <w:noWrap/>
            <w:hideMark/>
          </w:tcPr>
          <w:p w:rsidR="003C4961" w:rsidRPr="008B43F6" w:rsidRDefault="003C4961" w:rsidP="00C12621">
            <w:pPr>
              <w:spacing w:line="276" w:lineRule="auto"/>
              <w:jc w:val="both"/>
              <w:cnfStyle w:val="000000010000" w:firstRow="0" w:lastRow="0" w:firstColumn="0" w:lastColumn="0" w:oddVBand="0" w:evenVBand="0" w:oddHBand="0" w:evenHBand="1" w:firstRowFirstColumn="0" w:firstRowLastColumn="0" w:lastRowFirstColumn="0" w:lastRowLastColumn="0"/>
              <w:rPr>
                <w:rFonts w:eastAsia="Times New Roman" w:cs="Times New Roman"/>
                <w:b/>
                <w:sz w:val="18"/>
                <w:szCs w:val="18"/>
                <w:lang w:eastAsia="es-MX"/>
              </w:rPr>
            </w:pPr>
            <w:r w:rsidRPr="008B43F6">
              <w:rPr>
                <w:rFonts w:eastAsia="Times New Roman" w:cs="Times New Roman"/>
                <w:b/>
                <w:sz w:val="18"/>
                <w:szCs w:val="18"/>
                <w:lang w:eastAsia="es-MX"/>
              </w:rPr>
              <w:t>8</w:t>
            </w:r>
          </w:p>
        </w:tc>
      </w:tr>
      <w:tr w:rsidR="003C4961" w:rsidRPr="008B43F6" w:rsidTr="00EA15E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20" w:type="dxa"/>
            <w:shd w:val="clear" w:color="auto" w:fill="FFFFFF" w:themeFill="background1"/>
            <w:hideMark/>
          </w:tcPr>
          <w:p w:rsidR="003C4961" w:rsidRPr="008B43F6" w:rsidRDefault="003C4961" w:rsidP="00C12621">
            <w:pPr>
              <w:spacing w:line="276" w:lineRule="auto"/>
              <w:jc w:val="both"/>
              <w:rPr>
                <w:rFonts w:eastAsia="Times New Roman" w:cs="Times New Roman"/>
                <w:b w:val="0"/>
                <w:bCs w:val="0"/>
                <w:sz w:val="18"/>
                <w:szCs w:val="18"/>
                <w:lang w:eastAsia="es-MX"/>
              </w:rPr>
            </w:pPr>
            <w:r w:rsidRPr="008B43F6">
              <w:rPr>
                <w:rFonts w:eastAsia="Times New Roman" w:cs="Times New Roman"/>
                <w:b w:val="0"/>
                <w:bCs w:val="0"/>
                <w:sz w:val="18"/>
                <w:szCs w:val="18"/>
                <w:lang w:eastAsia="es-MX"/>
              </w:rPr>
              <w:t>Estufa gas</w:t>
            </w:r>
          </w:p>
        </w:tc>
        <w:tc>
          <w:tcPr>
            <w:tcW w:w="1806" w:type="dxa"/>
            <w:shd w:val="clear" w:color="auto" w:fill="FFFFFF" w:themeFill="background1"/>
            <w:noWrap/>
            <w:hideMark/>
          </w:tcPr>
          <w:p w:rsidR="003C4961" w:rsidRPr="008B43F6" w:rsidRDefault="003C4961" w:rsidP="00C12621">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sz w:val="18"/>
                <w:szCs w:val="18"/>
                <w:lang w:eastAsia="es-MX"/>
              </w:rPr>
            </w:pPr>
            <w:r w:rsidRPr="008B43F6">
              <w:rPr>
                <w:rFonts w:eastAsia="Times New Roman" w:cs="Times New Roman"/>
                <w:b/>
                <w:sz w:val="18"/>
                <w:szCs w:val="18"/>
                <w:lang w:eastAsia="es-MX"/>
              </w:rPr>
              <w:t>1</w:t>
            </w:r>
          </w:p>
        </w:tc>
      </w:tr>
    </w:tbl>
    <w:p w:rsidR="003C4961" w:rsidRPr="008B43F6" w:rsidRDefault="003C4961" w:rsidP="00C12621">
      <w:pPr>
        <w:jc w:val="both"/>
        <w:rPr>
          <w:sz w:val="18"/>
          <w:szCs w:val="18"/>
        </w:rPr>
      </w:pPr>
      <w:r w:rsidRPr="008B43F6">
        <w:rPr>
          <w:b/>
          <w:sz w:val="18"/>
          <w:szCs w:val="18"/>
        </w:rPr>
        <w:t>Fuente:</w:t>
      </w:r>
      <w:r w:rsidRPr="008B43F6">
        <w:rPr>
          <w:sz w:val="18"/>
          <w:szCs w:val="18"/>
        </w:rPr>
        <w:t xml:space="preserve"> Elaboración propia con datos de INEGI “Encuesta Anual de la Industria de la Manufactura 2009-2010” México, 2012 y referencias de expertos en energía solar del país</w:t>
      </w:r>
    </w:p>
    <w:p w:rsidR="003C4961" w:rsidRPr="008B43F6" w:rsidRDefault="003C4961" w:rsidP="00C12621">
      <w:pPr>
        <w:pStyle w:val="Prrafodelista"/>
        <w:jc w:val="both"/>
        <w:rPr>
          <w:b/>
          <w:color w:val="4F81BD" w:themeColor="accent1"/>
        </w:rPr>
      </w:pPr>
    </w:p>
    <w:p w:rsidR="003C4961" w:rsidRPr="008B43F6" w:rsidRDefault="003C4961" w:rsidP="00C12621">
      <w:pPr>
        <w:pStyle w:val="Prrafodelista"/>
        <w:numPr>
          <w:ilvl w:val="0"/>
          <w:numId w:val="44"/>
        </w:numPr>
        <w:jc w:val="both"/>
        <w:rPr>
          <w:b/>
        </w:rPr>
      </w:pPr>
      <w:r w:rsidRPr="008B43F6">
        <w:rPr>
          <w:b/>
        </w:rPr>
        <w:t>Se calcula el ahorro económico unitario por decil de ingreso  y por región.</w:t>
      </w:r>
    </w:p>
    <w:p w:rsidR="003C4961" w:rsidRPr="008B43F6" w:rsidRDefault="003C4961" w:rsidP="00C12621">
      <w:pPr>
        <w:pStyle w:val="Prrafodelista"/>
        <w:numPr>
          <w:ilvl w:val="0"/>
          <w:numId w:val="44"/>
        </w:numPr>
        <w:jc w:val="both"/>
        <w:rPr>
          <w:b/>
        </w:rPr>
      </w:pPr>
      <w:r w:rsidRPr="008B43F6">
        <w:rPr>
          <w:b/>
        </w:rPr>
        <w:t>Se calculan los impactos económicos globales (ahorros y derrama económica)</w:t>
      </w:r>
    </w:p>
    <w:p w:rsidR="003C4961" w:rsidRPr="008B43F6" w:rsidRDefault="003C4961" w:rsidP="00C12621">
      <w:pPr>
        <w:pStyle w:val="Prrafodelista"/>
        <w:numPr>
          <w:ilvl w:val="1"/>
          <w:numId w:val="44"/>
        </w:numPr>
        <w:jc w:val="both"/>
        <w:rPr>
          <w:b/>
        </w:rPr>
      </w:pPr>
      <w:r w:rsidRPr="008B43F6">
        <w:rPr>
          <w:b/>
        </w:rPr>
        <w:t>Por año</w:t>
      </w:r>
    </w:p>
    <w:p w:rsidR="003C4961" w:rsidRPr="008B43F6" w:rsidRDefault="003C4961" w:rsidP="00C12621">
      <w:pPr>
        <w:pStyle w:val="Prrafodelista"/>
        <w:numPr>
          <w:ilvl w:val="1"/>
          <w:numId w:val="44"/>
        </w:numPr>
        <w:jc w:val="both"/>
        <w:rPr>
          <w:b/>
        </w:rPr>
      </w:pPr>
      <w:r w:rsidRPr="008B43F6">
        <w:rPr>
          <w:b/>
        </w:rPr>
        <w:t>Para todo el período en el que aplica el programa</w:t>
      </w:r>
    </w:p>
    <w:p w:rsidR="003C4961" w:rsidRPr="008B43F6" w:rsidRDefault="003C4961" w:rsidP="00C12621">
      <w:pPr>
        <w:pStyle w:val="Prrafodelista"/>
        <w:numPr>
          <w:ilvl w:val="0"/>
          <w:numId w:val="44"/>
        </w:numPr>
        <w:jc w:val="both"/>
        <w:rPr>
          <w:b/>
        </w:rPr>
      </w:pPr>
      <w:r w:rsidRPr="008B43F6">
        <w:rPr>
          <w:b/>
        </w:rPr>
        <w:t xml:space="preserve">Se calculan las emisiones evitadas. </w:t>
      </w:r>
      <w:r w:rsidRPr="008B43F6">
        <w:t>Para el cálculo de emisiones proveniente de la generación de electricidad se considera la distribución de combustibles utilizados en las plantas de generación del país, la energía primaria que se requiere para cada tipo de central generadora y los factores de emisión de gases de efecto invernadero de cada uno de los energéticos considerados</w:t>
      </w:r>
      <w:r w:rsidR="00874C62" w:rsidRPr="008B43F6">
        <w:rPr>
          <w:rStyle w:val="Refdenotaalpie"/>
        </w:rPr>
        <w:footnoteReference w:id="7"/>
      </w:r>
      <w:r w:rsidRPr="008B43F6">
        <w:t>.</w:t>
      </w:r>
    </w:p>
    <w:p w:rsidR="003C4961" w:rsidRPr="008B43F6" w:rsidRDefault="003C4961" w:rsidP="00C12621">
      <w:pPr>
        <w:jc w:val="both"/>
        <w:rPr>
          <w:color w:val="17365D" w:themeColor="text2" w:themeShade="BF"/>
        </w:rPr>
      </w:pPr>
    </w:p>
    <w:p w:rsidR="00841D0E" w:rsidRPr="008B43F6" w:rsidRDefault="00841D0E" w:rsidP="00C12621">
      <w:pPr>
        <w:jc w:val="both"/>
        <w:rPr>
          <w:b/>
        </w:rPr>
      </w:pPr>
    </w:p>
    <w:p w:rsidR="00634C80" w:rsidRPr="008B43F6" w:rsidRDefault="00634C80" w:rsidP="00C12621">
      <w:pPr>
        <w:jc w:val="both"/>
        <w:rPr>
          <w:rFonts w:eastAsiaTheme="majorEastAsia" w:cstheme="majorBidi"/>
          <w:b/>
          <w:bCs/>
          <w:color w:val="365F91" w:themeColor="accent1" w:themeShade="BF"/>
          <w:sz w:val="28"/>
          <w:szCs w:val="28"/>
        </w:rPr>
      </w:pPr>
      <w:bookmarkStart w:id="96" w:name="_Toc350212892"/>
      <w:r w:rsidRPr="008B43F6">
        <w:br w:type="page"/>
      </w:r>
    </w:p>
    <w:p w:rsidR="002C0CCF" w:rsidRPr="008B43F6" w:rsidRDefault="002C0CCF" w:rsidP="00C12621">
      <w:pPr>
        <w:pStyle w:val="Ttulo1"/>
        <w:jc w:val="both"/>
        <w:rPr>
          <w:rFonts w:asciiTheme="minorHAnsi" w:hAnsiTheme="minorHAnsi"/>
        </w:rPr>
      </w:pPr>
      <w:bookmarkStart w:id="97" w:name="_Toc350874993"/>
      <w:bookmarkStart w:id="98" w:name="_Toc351397606"/>
      <w:r w:rsidRPr="008B43F6">
        <w:rPr>
          <w:rFonts w:asciiTheme="minorHAnsi" w:hAnsiTheme="minorHAnsi"/>
        </w:rPr>
        <w:lastRenderedPageBreak/>
        <w:t>Anexo I</w:t>
      </w:r>
      <w:r w:rsidR="00E51B35" w:rsidRPr="008B43F6">
        <w:rPr>
          <w:rFonts w:asciiTheme="minorHAnsi" w:hAnsiTheme="minorHAnsi"/>
        </w:rPr>
        <w:t>I</w:t>
      </w:r>
      <w:r w:rsidRPr="008B43F6">
        <w:rPr>
          <w:rFonts w:asciiTheme="minorHAnsi" w:hAnsiTheme="minorHAnsi"/>
        </w:rPr>
        <w:t>. Tipología de los beneficios no-energéticos de la mitigación del CO</w:t>
      </w:r>
      <w:r w:rsidRPr="008B43F6">
        <w:rPr>
          <w:rFonts w:asciiTheme="minorHAnsi" w:hAnsiTheme="minorHAnsi"/>
          <w:vertAlign w:val="subscript"/>
        </w:rPr>
        <w:t>2</w:t>
      </w:r>
      <w:r w:rsidRPr="008B43F6">
        <w:rPr>
          <w:rFonts w:asciiTheme="minorHAnsi" w:hAnsiTheme="minorHAnsi"/>
        </w:rPr>
        <w:t xml:space="preserve"> en los edificios</w:t>
      </w:r>
      <w:bookmarkEnd w:id="96"/>
      <w:bookmarkEnd w:id="97"/>
      <w:bookmarkEnd w:id="98"/>
    </w:p>
    <w:p w:rsidR="002C0CCF" w:rsidRPr="008B43F6" w:rsidRDefault="002C0CCF" w:rsidP="00C12621">
      <w:pPr>
        <w:jc w:val="both"/>
      </w:pPr>
    </w:p>
    <w:p w:rsidR="002C0CCF" w:rsidRPr="008B43F6" w:rsidRDefault="002C0CCF" w:rsidP="00C12621">
      <w:pPr>
        <w:spacing w:after="0"/>
        <w:jc w:val="both"/>
        <w:textAlignment w:val="center"/>
        <w:rPr>
          <w:rFonts w:eastAsia="Times New Roman" w:cstheme="minorHAnsi"/>
        </w:rPr>
      </w:pPr>
      <w:r w:rsidRPr="008B43F6">
        <w:rPr>
          <w:rFonts w:eastAsia="Times New Roman" w:cstheme="minorHAnsi"/>
        </w:rPr>
        <w:t>Los co-beneficios de la mitigación de las emisiones de CO</w:t>
      </w:r>
      <w:r w:rsidRPr="008B43F6">
        <w:rPr>
          <w:rFonts w:eastAsia="Times New Roman" w:cstheme="minorHAnsi"/>
          <w:vertAlign w:val="subscript"/>
        </w:rPr>
        <w:t>2</w:t>
      </w:r>
      <w:r w:rsidRPr="008B43F6">
        <w:rPr>
          <w:rFonts w:eastAsia="Times New Roman" w:cstheme="minorHAnsi"/>
        </w:rPr>
        <w:t xml:space="preserve"> en edificios residenciales son numerosos, y antes de que sean evaluados detalladamente, resulta de gran utilidad identificarlos y clasificarlos. A menudo no es posible compartimentar totalmente los co-beneficios, ya que es inevitable que algunos de ellos se traslapen. A veces uno es el resultado de otro (por ejemplo, una mejoría en las condiciones de salud, como resultado de la reducción de la contaminación del aire). Asimismo, la mayoría de los estudios existentes no proporcionan una clasificación explícita de estos beneficios en el sector de la construcción: normalmente, los estudios se centran en una selección de estudios de caso por países o enumeran los co-beneficios que consideran más importantes </w:t>
      </w:r>
      <w:r w:rsidRPr="008B43F6">
        <w:rPr>
          <w:rFonts w:eastAsia="Times New Roman" w:cstheme="minorHAnsi"/>
        </w:rPr>
        <w:fldChar w:fldCharType="begin"/>
      </w:r>
      <w:r w:rsidRPr="008B43F6">
        <w:rPr>
          <w:rFonts w:eastAsia="Times New Roman" w:cstheme="minorHAnsi"/>
        </w:rPr>
        <w:instrText xml:space="preserve"> ADDIN EN.CITE &lt;EndNote&gt;&lt;Cite&gt;&lt;Author&gt;Ürge-Vorsatz&lt;/Author&gt;&lt;Year&gt;2009&lt;/Year&gt;&lt;RecNum&gt;23&lt;/RecNum&gt;&lt;DisplayText&gt;[3]&lt;/DisplayText&gt;&lt;record&gt;&lt;rec-number&gt;23&lt;/rec-number&gt;&lt;foreign-keys&gt;&lt;key app="EN" db-id="w0w9edzzlxxfdgesvf359ft8wzxverspwaav"&gt;23&lt;/key&gt;&lt;/foreign-keys&gt;&lt;ref-type name="Conference Paper"&gt;47&lt;/ref-type&gt;&lt;contributors&gt;&lt;authors&gt;&lt;author&gt;Diana Ürge-Vorsatz&lt;/author&gt;&lt;author&gt;Aleksandra Novikova&lt;/author&gt;&lt;author&gt;Maria Sharmina&lt;/author&gt;&lt;/authors&gt;&lt;/contributors&gt;&lt;titles&gt;&lt;title&gt;Counting good: quantifying the co-benefits of improved efficiency in buildings&lt;/title&gt;&lt;secondary-title&gt;European Council for an Energy Efficient Economy&lt;/secondary-title&gt;&lt;/titles&gt;&lt;dates&gt;&lt;year&gt;2009&lt;/year&gt;&lt;/dates&gt;&lt;urls&gt;&lt;/urls&gt;&lt;custom1&gt;France&lt;/custom1&gt;&lt;/record&gt;&lt;/Cite&gt;&lt;/EndNote&gt;</w:instrText>
      </w:r>
      <w:r w:rsidRPr="008B43F6">
        <w:rPr>
          <w:rFonts w:eastAsia="Times New Roman" w:cstheme="minorHAnsi"/>
        </w:rPr>
        <w:fldChar w:fldCharType="separate"/>
      </w:r>
      <w:r w:rsidRPr="008B43F6">
        <w:rPr>
          <w:rFonts w:eastAsia="Times New Roman" w:cstheme="minorHAnsi"/>
          <w:noProof/>
        </w:rPr>
        <w:t>[</w:t>
      </w:r>
      <w:hyperlink w:anchor="_ENREF_3" w:tooltip="Ürge-Vorsatz, 2009 #23" w:history="1">
        <w:r w:rsidR="00251C87" w:rsidRPr="008B43F6">
          <w:rPr>
            <w:rFonts w:eastAsia="Times New Roman" w:cstheme="minorHAnsi"/>
            <w:noProof/>
          </w:rPr>
          <w:t>3</w:t>
        </w:r>
      </w:hyperlink>
      <w:r w:rsidRPr="008B43F6">
        <w:rPr>
          <w:rFonts w:eastAsia="Times New Roman" w:cstheme="minorHAnsi"/>
          <w:noProof/>
        </w:rPr>
        <w:t>]</w:t>
      </w:r>
      <w:r w:rsidRPr="008B43F6">
        <w:rPr>
          <w:rFonts w:eastAsia="Times New Roman" w:cstheme="minorHAnsi"/>
        </w:rPr>
        <w:fldChar w:fldCharType="end"/>
      </w:r>
      <w:r w:rsidRPr="008B43F6">
        <w:rPr>
          <w:rFonts w:eastAsia="Times New Roman" w:cstheme="minorHAnsi"/>
        </w:rPr>
        <w:t>.</w:t>
      </w:r>
    </w:p>
    <w:p w:rsidR="002C0CCF" w:rsidRPr="008B43F6" w:rsidRDefault="002C0CCF" w:rsidP="00C12621">
      <w:pPr>
        <w:spacing w:after="0"/>
        <w:jc w:val="both"/>
        <w:textAlignment w:val="center"/>
        <w:rPr>
          <w:rFonts w:cstheme="minorHAnsi"/>
        </w:rPr>
      </w:pPr>
    </w:p>
    <w:p w:rsidR="002C0CCF" w:rsidRPr="008B43F6" w:rsidRDefault="002C0CCF" w:rsidP="00C12621">
      <w:pPr>
        <w:spacing w:after="0"/>
        <w:jc w:val="both"/>
        <w:textAlignment w:val="center"/>
        <w:rPr>
          <w:rFonts w:cstheme="minorHAnsi"/>
        </w:rPr>
      </w:pPr>
      <w:r w:rsidRPr="008B43F6">
        <w:rPr>
          <w:rFonts w:cstheme="minorHAnsi"/>
        </w:rPr>
        <w:t>Sin embargo, existen algunas clasificaciones generales de los co-beneficios de la reducción de las emisiones de CO</w:t>
      </w:r>
      <w:r w:rsidRPr="008B43F6">
        <w:rPr>
          <w:rFonts w:cstheme="minorHAnsi"/>
          <w:vertAlign w:val="subscript"/>
        </w:rPr>
        <w:t>2</w:t>
      </w:r>
      <w:r w:rsidRPr="008B43F6">
        <w:rPr>
          <w:rFonts w:cstheme="minorHAnsi"/>
        </w:rPr>
        <w:t xml:space="preserve"> que podrían aplicarse para clasificar los beneficios delas emisiones de CO</w:t>
      </w:r>
      <w:r w:rsidRPr="008B43F6">
        <w:rPr>
          <w:rFonts w:cstheme="minorHAnsi"/>
          <w:vertAlign w:val="subscript"/>
        </w:rPr>
        <w:t>2</w:t>
      </w:r>
      <w:r w:rsidRPr="008B43F6">
        <w:rPr>
          <w:rFonts w:cstheme="minorHAnsi"/>
        </w:rPr>
        <w:t xml:space="preserve"> en los sectores usuarios de energéticos. Por ejemplo, la Agencia Internacional de Energía (AIE) </w:t>
      </w:r>
      <w:r w:rsidRPr="008B43F6">
        <w:rPr>
          <w:rFonts w:cstheme="minorHAnsi"/>
        </w:rPr>
        <w:fldChar w:fldCharType="begin"/>
      </w:r>
      <w:r w:rsidR="00251C87">
        <w:rPr>
          <w:rFonts w:cstheme="minorHAnsi"/>
        </w:rPr>
        <w:instrText xml:space="preserve"> ADDIN EN.CITE &lt;EndNote&gt;&lt;Cite&gt;&lt;Author&gt;Heffner&lt;/Author&gt;&lt;Year&gt;2011&lt;/Year&gt;&lt;RecNum&gt;14&lt;/RecNum&gt;&lt;DisplayText&gt;[36]&lt;/DisplayText&gt;&lt;record&gt;&lt;rec-number&gt;14&lt;/rec-number&gt;&lt;foreign-keys&gt;&lt;key app="EN" db-id="w0w9edzzlxxfdgesvf359ft8wzxverspwaav"&gt;14&lt;/key&gt;&lt;/foreign-keys&gt;&lt;ref-type name="Report"&gt;27&lt;/ref-type&gt;&lt;contributors&gt;&lt;authors&gt;&lt;author&gt;Grayson Heffner&lt;/author&gt;&lt;author&gt;Nina Campbell&lt;/author&gt;&lt;/authors&gt;&lt;/contributors&gt;&lt;titles&gt;&lt;title&gt;Evaluating the co-benefits of  low-income energy-efficiency programmes. Results of the Dublin Workshop, 27-28 January 2011&lt;/title&gt;&lt;/titles&gt;&lt;dates&gt;&lt;year&gt;2011&lt;/year&gt;&lt;/dates&gt;&lt;publisher&gt;International Energy Agency&lt;/publisher&gt;&lt;urls&gt;&lt;related-urls&gt;&lt;url&gt;http://www.iea.org/publications/freepublications/publication/low_income_energy_efficiency.pdf&lt;/url&gt;&lt;/related-urls&gt;&lt;/urls&gt;&lt;/record&gt;&lt;/Cite&gt;&lt;/EndNote&gt;</w:instrText>
      </w:r>
      <w:r w:rsidRPr="008B43F6">
        <w:rPr>
          <w:rFonts w:cstheme="minorHAnsi"/>
        </w:rPr>
        <w:fldChar w:fldCharType="separate"/>
      </w:r>
      <w:r w:rsidR="00251C87">
        <w:rPr>
          <w:rFonts w:cstheme="minorHAnsi"/>
          <w:noProof/>
        </w:rPr>
        <w:t>[</w:t>
      </w:r>
      <w:hyperlink w:anchor="_ENREF_36" w:tooltip="Heffner, 2011 #14" w:history="1">
        <w:r w:rsidR="00251C87">
          <w:rPr>
            <w:rFonts w:cstheme="minorHAnsi"/>
            <w:noProof/>
          </w:rPr>
          <w:t>36</w:t>
        </w:r>
      </w:hyperlink>
      <w:r w:rsidR="00251C87">
        <w:rPr>
          <w:rFonts w:cstheme="minorHAnsi"/>
          <w:noProof/>
        </w:rPr>
        <w:t>]</w:t>
      </w:r>
      <w:r w:rsidRPr="008B43F6">
        <w:rPr>
          <w:rFonts w:cstheme="minorHAnsi"/>
        </w:rPr>
        <w:fldChar w:fldCharType="end"/>
      </w:r>
      <w:r w:rsidRPr="008B43F6">
        <w:rPr>
          <w:rFonts w:cstheme="minorHAnsi"/>
        </w:rPr>
        <w:t xml:space="preserve"> clasifica los co-beneficios no-energéticos de acuerdo con la naturaleza del beneficio y del beneficiario como sigue</w:t>
      </w:r>
      <w:r w:rsidRPr="008B43F6">
        <w:rPr>
          <w:rFonts w:cstheme="minorHAnsi"/>
          <w:color w:val="FF0000"/>
        </w:rPr>
        <w:t>:</w:t>
      </w:r>
    </w:p>
    <w:p w:rsidR="002C0CCF" w:rsidRPr="008B43F6" w:rsidRDefault="002C0CCF" w:rsidP="00C12621">
      <w:pPr>
        <w:autoSpaceDE w:val="0"/>
        <w:autoSpaceDN w:val="0"/>
        <w:adjustRightInd w:val="0"/>
        <w:spacing w:after="0"/>
        <w:jc w:val="both"/>
        <w:rPr>
          <w:rFonts w:cstheme="minorHAnsi"/>
        </w:rPr>
      </w:pPr>
    </w:p>
    <w:p w:rsidR="002C0CCF" w:rsidRPr="008B43F6" w:rsidRDefault="002C0CCF" w:rsidP="00C12621">
      <w:pPr>
        <w:pStyle w:val="Prrafodelista"/>
        <w:numPr>
          <w:ilvl w:val="0"/>
          <w:numId w:val="19"/>
        </w:numPr>
        <w:spacing w:after="0"/>
        <w:jc w:val="both"/>
        <w:textAlignment w:val="center"/>
        <w:rPr>
          <w:rFonts w:cstheme="minorHAnsi"/>
        </w:rPr>
      </w:pPr>
      <w:r w:rsidRPr="008B43F6">
        <w:rPr>
          <w:rFonts w:cstheme="minorHAnsi"/>
        </w:rPr>
        <w:t>Co-beneficios financieros directos que le corresponden a los gobiernos y a los proveedores de energía, así como a los propietarios de inmuebles y a los participantes de los programas de eficiencia energética;</w:t>
      </w:r>
    </w:p>
    <w:p w:rsidR="002C0CCF" w:rsidRPr="008B43F6" w:rsidRDefault="002C0CCF" w:rsidP="00C12621">
      <w:pPr>
        <w:pStyle w:val="Prrafodelista"/>
        <w:numPr>
          <w:ilvl w:val="0"/>
          <w:numId w:val="19"/>
        </w:numPr>
        <w:spacing w:after="0"/>
        <w:jc w:val="both"/>
        <w:textAlignment w:val="center"/>
        <w:rPr>
          <w:rFonts w:cstheme="minorHAnsi"/>
        </w:rPr>
      </w:pPr>
      <w:r w:rsidRPr="008B43F6">
        <w:rPr>
          <w:rFonts w:cstheme="minorHAnsi"/>
        </w:rPr>
        <w:t xml:space="preserve">Co-beneficios económicos indirectos para los participantes de los programas de eficiencia energética, los que pagan intereses, los que pagan impuestos, los propietarios de inmuebles, y la sociedad en general; </w:t>
      </w:r>
    </w:p>
    <w:p w:rsidR="002C0CCF" w:rsidRPr="008B43F6" w:rsidRDefault="002C0CCF" w:rsidP="00C12621">
      <w:pPr>
        <w:pStyle w:val="Prrafodelista"/>
        <w:numPr>
          <w:ilvl w:val="0"/>
          <w:numId w:val="19"/>
        </w:numPr>
        <w:spacing w:after="0"/>
        <w:jc w:val="both"/>
        <w:textAlignment w:val="center"/>
        <w:rPr>
          <w:rFonts w:cstheme="minorHAnsi"/>
        </w:rPr>
      </w:pPr>
      <w:r w:rsidRPr="008B43F6">
        <w:rPr>
          <w:rFonts w:cstheme="minorHAnsi"/>
        </w:rPr>
        <w:t xml:space="preserve">Co-beneficios relativos al bienestar social y a los medios de subsistencia para los participantes, la comunidad local y la sociedad como un todo. </w:t>
      </w:r>
    </w:p>
    <w:p w:rsidR="002C0CCF" w:rsidRPr="008B43F6" w:rsidRDefault="002C0CCF" w:rsidP="00C12621">
      <w:pPr>
        <w:autoSpaceDE w:val="0"/>
        <w:autoSpaceDN w:val="0"/>
        <w:adjustRightInd w:val="0"/>
        <w:spacing w:after="0"/>
        <w:jc w:val="both"/>
        <w:rPr>
          <w:rFonts w:cstheme="minorHAnsi"/>
        </w:rPr>
      </w:pPr>
    </w:p>
    <w:p w:rsidR="002C0CCF" w:rsidRPr="008B43F6" w:rsidRDefault="002C0CCF" w:rsidP="00C12621">
      <w:pPr>
        <w:jc w:val="both"/>
        <w:rPr>
          <w:rFonts w:cstheme="minorHAnsi"/>
        </w:rPr>
      </w:pPr>
      <w:r w:rsidRPr="008B43F6">
        <w:rPr>
          <w:rFonts w:cstheme="minorHAnsi"/>
        </w:rPr>
        <w:t>Para este proyecto, los co-beneficios serán clasificados en las siguientes categorías: económicos, de carácter social/político, de salud, de la compañía que provee servicios energéticos y ecológicos. Pueden tener impactos directos sobre los distintos sectores de la economía y/o de la sociedad; principalmente en los hogares, el gobierno y/o en los servicios (Tabla 1).</w:t>
      </w:r>
    </w:p>
    <w:p w:rsidR="002C0CCF" w:rsidRPr="008B43F6" w:rsidRDefault="002C0CCF" w:rsidP="00C12621">
      <w:pPr>
        <w:autoSpaceDE w:val="0"/>
        <w:autoSpaceDN w:val="0"/>
        <w:adjustRightInd w:val="0"/>
        <w:spacing w:after="0"/>
        <w:jc w:val="both"/>
        <w:rPr>
          <w:rFonts w:cstheme="minorHAnsi"/>
        </w:rPr>
      </w:pPr>
      <w:r w:rsidRPr="008B43F6">
        <w:rPr>
          <w:rFonts w:cstheme="minorHAnsi"/>
        </w:rPr>
        <w:t>Cuando se trata de medidas de mitigación climática aplicadas a edificios, aún en el caso de que las reducciones de emisiones de gases de efecto invernadero (GEI) puedan ser similares en construcciones nuevas y en construcciones reacondicionadas del mismo tamaño, existe una diferenciación en el nivel de los co-beneficios resultantes, particularmente con relación a sus impactos en la creación de empleo y en la economía en general (que será abordado en el cuerpo del texto).</w:t>
      </w:r>
    </w:p>
    <w:p w:rsidR="002C0CCF" w:rsidRPr="008B43F6" w:rsidRDefault="002C0CCF" w:rsidP="00C92E54">
      <w:pPr>
        <w:jc w:val="both"/>
        <w:rPr>
          <w:rFonts w:cstheme="minorHAnsi"/>
        </w:rPr>
      </w:pPr>
      <w:r w:rsidRPr="008B43F6">
        <w:rPr>
          <w:rFonts w:cstheme="minorHAnsi"/>
        </w:rPr>
        <w:br w:type="page"/>
      </w:r>
    </w:p>
    <w:p w:rsidR="002C0CCF" w:rsidRPr="008B43F6" w:rsidRDefault="002C0CCF" w:rsidP="00C92E54">
      <w:pPr>
        <w:spacing w:after="0"/>
        <w:jc w:val="both"/>
        <w:rPr>
          <w:rFonts w:cstheme="minorHAnsi"/>
          <w:sz w:val="24"/>
          <w:szCs w:val="24"/>
        </w:rPr>
      </w:pPr>
      <w:r w:rsidRPr="008B43F6">
        <w:rPr>
          <w:rFonts w:cstheme="minorHAnsi"/>
          <w:b/>
          <w:sz w:val="24"/>
          <w:szCs w:val="24"/>
        </w:rPr>
        <w:lastRenderedPageBreak/>
        <w:t>Tabla 1.</w:t>
      </w:r>
      <w:r w:rsidRPr="008B43F6">
        <w:rPr>
          <w:rFonts w:cstheme="minorHAnsi"/>
          <w:sz w:val="24"/>
          <w:szCs w:val="24"/>
        </w:rPr>
        <w:t xml:space="preserve"> Co-beneficios derivados de las mejoras en la eficiencia energética de los edificios residenciales</w:t>
      </w:r>
      <w:r w:rsidRPr="008B43F6">
        <w:rPr>
          <w:vertAlign w:val="superscript"/>
        </w:rPr>
        <w:footnoteReference w:id="8"/>
      </w:r>
    </w:p>
    <w:tbl>
      <w:tblPr>
        <w:tblW w:w="9349" w:type="dxa"/>
        <w:tblInd w:w="93" w:type="dxa"/>
        <w:tblLook w:val="04A0" w:firstRow="1" w:lastRow="0" w:firstColumn="1" w:lastColumn="0" w:noHBand="0" w:noVBand="1"/>
      </w:tblPr>
      <w:tblGrid>
        <w:gridCol w:w="1341"/>
        <w:gridCol w:w="3035"/>
        <w:gridCol w:w="1636"/>
        <w:gridCol w:w="1052"/>
        <w:gridCol w:w="1192"/>
        <w:gridCol w:w="1093"/>
      </w:tblGrid>
      <w:tr w:rsidR="002C0CCF" w:rsidRPr="008B43F6" w:rsidTr="00F14047">
        <w:trPr>
          <w:trHeight w:val="304"/>
        </w:trPr>
        <w:tc>
          <w:tcPr>
            <w:tcW w:w="1341" w:type="dxa"/>
            <w:tcBorders>
              <w:top w:val="single" w:sz="8" w:space="0" w:color="808080"/>
              <w:left w:val="single" w:sz="8" w:space="0" w:color="808080"/>
              <w:bottom w:val="nil"/>
              <w:right w:val="single" w:sz="4" w:space="0" w:color="808080" w:themeColor="background1" w:themeShade="80"/>
            </w:tcBorders>
            <w:shd w:val="clear" w:color="000000" w:fill="538DD5"/>
            <w:noWrap/>
            <w:vAlign w:val="bottom"/>
            <w:hideMark/>
          </w:tcPr>
          <w:p w:rsidR="002C0CCF" w:rsidRPr="008B43F6" w:rsidRDefault="002C0CCF" w:rsidP="00C92E54">
            <w:pPr>
              <w:spacing w:after="0"/>
              <w:rPr>
                <w:rFonts w:eastAsia="Times New Roman" w:cs="Calibri"/>
                <w:color w:val="000000"/>
                <w:sz w:val="20"/>
                <w:szCs w:val="20"/>
              </w:rPr>
            </w:pPr>
            <w:r w:rsidRPr="008B43F6">
              <w:rPr>
                <w:rFonts w:eastAsia="Times New Roman" w:cs="Calibri"/>
                <w:color w:val="000000"/>
                <w:sz w:val="20"/>
                <w:szCs w:val="20"/>
              </w:rPr>
              <w:t> </w:t>
            </w:r>
          </w:p>
        </w:tc>
        <w:tc>
          <w:tcPr>
            <w:tcW w:w="3775" w:type="dxa"/>
            <w:tcBorders>
              <w:top w:val="single" w:sz="8" w:space="0" w:color="808080"/>
              <w:left w:val="single" w:sz="4" w:space="0" w:color="808080" w:themeColor="background1" w:themeShade="80"/>
              <w:bottom w:val="nil"/>
              <w:right w:val="nil"/>
            </w:tcBorders>
            <w:shd w:val="clear" w:color="000000" w:fill="538DD5"/>
            <w:vAlign w:val="bottom"/>
            <w:hideMark/>
          </w:tcPr>
          <w:p w:rsidR="002C0CCF" w:rsidRPr="008B43F6" w:rsidRDefault="002C0CCF" w:rsidP="00C92E54">
            <w:pPr>
              <w:spacing w:after="0"/>
              <w:rPr>
                <w:rFonts w:eastAsia="Times New Roman" w:cs="Calibri"/>
                <w:color w:val="000000"/>
                <w:sz w:val="20"/>
                <w:szCs w:val="20"/>
              </w:rPr>
            </w:pPr>
            <w:r w:rsidRPr="008B43F6">
              <w:rPr>
                <w:rFonts w:eastAsia="Times New Roman" w:cs="Calibri"/>
                <w:color w:val="000000"/>
                <w:sz w:val="20"/>
                <w:szCs w:val="20"/>
              </w:rPr>
              <w:t> </w:t>
            </w:r>
          </w:p>
        </w:tc>
        <w:tc>
          <w:tcPr>
            <w:tcW w:w="4232" w:type="dxa"/>
            <w:gridSpan w:val="4"/>
            <w:tcBorders>
              <w:top w:val="single" w:sz="8" w:space="0" w:color="808080"/>
              <w:left w:val="single" w:sz="4" w:space="0" w:color="808080"/>
              <w:bottom w:val="single" w:sz="4" w:space="0" w:color="808080"/>
              <w:right w:val="single" w:sz="8" w:space="0" w:color="808080"/>
            </w:tcBorders>
            <w:shd w:val="clear" w:color="000000" w:fill="538DD5"/>
            <w:noWrap/>
            <w:vAlign w:val="bottom"/>
            <w:hideMark/>
          </w:tcPr>
          <w:p w:rsidR="002C0CCF" w:rsidRPr="008B43F6" w:rsidRDefault="002C0CCF" w:rsidP="00C92E54">
            <w:pPr>
              <w:spacing w:after="0"/>
              <w:jc w:val="center"/>
              <w:rPr>
                <w:rFonts w:eastAsia="Times New Roman" w:cs="Calibri"/>
                <w:b/>
                <w:bCs/>
                <w:color w:val="FFFFFF"/>
                <w:sz w:val="20"/>
                <w:szCs w:val="20"/>
              </w:rPr>
            </w:pPr>
            <w:r w:rsidRPr="008B43F6">
              <w:rPr>
                <w:rFonts w:eastAsia="Times New Roman" w:cs="Calibri"/>
                <w:b/>
                <w:bCs/>
                <w:color w:val="FFFFFF"/>
                <w:sz w:val="20"/>
                <w:szCs w:val="20"/>
              </w:rPr>
              <w:t>Principal grupo beneficiario</w:t>
            </w:r>
          </w:p>
        </w:tc>
      </w:tr>
      <w:tr w:rsidR="002C0CCF" w:rsidRPr="008B43F6" w:rsidTr="00F14047">
        <w:trPr>
          <w:trHeight w:val="319"/>
        </w:trPr>
        <w:tc>
          <w:tcPr>
            <w:tcW w:w="1341" w:type="dxa"/>
            <w:tcBorders>
              <w:top w:val="nil"/>
              <w:left w:val="single" w:sz="8" w:space="0" w:color="808080"/>
              <w:bottom w:val="single" w:sz="4" w:space="0" w:color="808080" w:themeColor="background1" w:themeShade="80"/>
              <w:right w:val="single" w:sz="4" w:space="0" w:color="808080" w:themeColor="background1" w:themeShade="80"/>
            </w:tcBorders>
            <w:shd w:val="clear" w:color="000000" w:fill="538DD5"/>
            <w:vAlign w:val="center"/>
            <w:hideMark/>
          </w:tcPr>
          <w:p w:rsidR="002C0CCF" w:rsidRPr="008B43F6" w:rsidRDefault="002C0CCF" w:rsidP="00C92E54">
            <w:pPr>
              <w:spacing w:after="0"/>
              <w:jc w:val="center"/>
              <w:rPr>
                <w:rFonts w:eastAsia="Times New Roman" w:cs="Calibri"/>
                <w:b/>
                <w:bCs/>
                <w:color w:val="FFFFFF"/>
                <w:sz w:val="20"/>
                <w:szCs w:val="20"/>
              </w:rPr>
            </w:pPr>
            <w:r w:rsidRPr="008B43F6">
              <w:rPr>
                <w:rFonts w:eastAsia="Times New Roman" w:cs="Calibri"/>
                <w:b/>
                <w:bCs/>
                <w:color w:val="FFFFFF"/>
                <w:sz w:val="20"/>
                <w:szCs w:val="20"/>
              </w:rPr>
              <w:t xml:space="preserve">Categoría </w:t>
            </w:r>
          </w:p>
        </w:tc>
        <w:tc>
          <w:tcPr>
            <w:tcW w:w="3775" w:type="dxa"/>
            <w:tcBorders>
              <w:top w:val="nil"/>
              <w:left w:val="single" w:sz="4" w:space="0" w:color="808080" w:themeColor="background1" w:themeShade="80"/>
              <w:bottom w:val="single" w:sz="4" w:space="0" w:color="808080" w:themeColor="background1" w:themeShade="80"/>
              <w:right w:val="single" w:sz="4" w:space="0" w:color="808080"/>
            </w:tcBorders>
            <w:shd w:val="clear" w:color="000000" w:fill="548DD4"/>
            <w:vAlign w:val="center"/>
            <w:hideMark/>
          </w:tcPr>
          <w:p w:rsidR="002C0CCF" w:rsidRPr="008B43F6" w:rsidRDefault="002C0CCF" w:rsidP="00C92E54">
            <w:pPr>
              <w:spacing w:after="0"/>
              <w:jc w:val="center"/>
              <w:rPr>
                <w:rFonts w:eastAsia="Times New Roman" w:cs="Calibri"/>
                <w:b/>
                <w:bCs/>
                <w:color w:val="FFFFFF"/>
                <w:sz w:val="20"/>
                <w:szCs w:val="20"/>
              </w:rPr>
            </w:pPr>
            <w:r w:rsidRPr="008B43F6">
              <w:rPr>
                <w:rFonts w:eastAsia="Times New Roman" w:cs="Calibri"/>
                <w:b/>
                <w:bCs/>
                <w:color w:val="FFFFFF"/>
                <w:sz w:val="20"/>
                <w:szCs w:val="20"/>
              </w:rPr>
              <w:t>Sub-categoría de beneficio no-energético</w:t>
            </w:r>
          </w:p>
        </w:tc>
        <w:tc>
          <w:tcPr>
            <w:tcW w:w="1048" w:type="dxa"/>
            <w:tcBorders>
              <w:top w:val="nil"/>
              <w:left w:val="nil"/>
              <w:bottom w:val="single" w:sz="4" w:space="0" w:color="808080" w:themeColor="background1" w:themeShade="80"/>
              <w:right w:val="single" w:sz="4" w:space="0" w:color="808080"/>
            </w:tcBorders>
            <w:shd w:val="clear" w:color="000000" w:fill="548DD4"/>
            <w:vAlign w:val="center"/>
            <w:hideMark/>
          </w:tcPr>
          <w:p w:rsidR="002C0CCF" w:rsidRPr="008B43F6" w:rsidRDefault="002C0CCF" w:rsidP="00C92E54">
            <w:pPr>
              <w:spacing w:after="0"/>
              <w:jc w:val="center"/>
              <w:rPr>
                <w:rFonts w:eastAsia="Times New Roman" w:cs="Calibri"/>
                <w:b/>
                <w:bCs/>
                <w:color w:val="FFFFFF"/>
                <w:sz w:val="20"/>
                <w:szCs w:val="20"/>
              </w:rPr>
            </w:pPr>
            <w:r w:rsidRPr="008B43F6">
              <w:rPr>
                <w:rFonts w:eastAsia="Times New Roman" w:cs="Calibri"/>
                <w:b/>
                <w:bCs/>
                <w:color w:val="FFFFFF"/>
                <w:sz w:val="20"/>
                <w:szCs w:val="20"/>
              </w:rPr>
              <w:t>Usuarios/dueños de los</w:t>
            </w:r>
          </w:p>
          <w:p w:rsidR="002C0CCF" w:rsidRPr="008B43F6" w:rsidRDefault="002C0CCF" w:rsidP="00C92E54">
            <w:pPr>
              <w:spacing w:after="0"/>
              <w:jc w:val="center"/>
              <w:rPr>
                <w:rFonts w:eastAsia="Times New Roman" w:cs="Calibri"/>
                <w:b/>
                <w:bCs/>
                <w:color w:val="FFFFFF"/>
                <w:sz w:val="20"/>
                <w:szCs w:val="20"/>
              </w:rPr>
            </w:pPr>
            <w:r w:rsidRPr="008B43F6">
              <w:rPr>
                <w:rFonts w:eastAsia="Times New Roman" w:cs="Calibri"/>
                <w:b/>
                <w:bCs/>
                <w:color w:val="FFFFFF"/>
                <w:sz w:val="20"/>
                <w:szCs w:val="20"/>
              </w:rPr>
              <w:t>hogares</w:t>
            </w:r>
          </w:p>
        </w:tc>
        <w:tc>
          <w:tcPr>
            <w:tcW w:w="1052" w:type="dxa"/>
            <w:tcBorders>
              <w:top w:val="nil"/>
              <w:left w:val="nil"/>
              <w:bottom w:val="single" w:sz="4" w:space="0" w:color="808080" w:themeColor="background1" w:themeShade="80"/>
              <w:right w:val="single" w:sz="4" w:space="0" w:color="808080"/>
            </w:tcBorders>
            <w:shd w:val="clear" w:color="000000" w:fill="548DD4"/>
            <w:vAlign w:val="center"/>
            <w:hideMark/>
          </w:tcPr>
          <w:p w:rsidR="002C0CCF" w:rsidRPr="008B43F6" w:rsidRDefault="002C0CCF" w:rsidP="00C92E54">
            <w:pPr>
              <w:spacing w:after="0"/>
              <w:jc w:val="center"/>
              <w:rPr>
                <w:rFonts w:eastAsia="Times New Roman" w:cs="Calibri"/>
                <w:b/>
                <w:bCs/>
                <w:color w:val="FFFFFF"/>
                <w:sz w:val="20"/>
                <w:szCs w:val="20"/>
              </w:rPr>
            </w:pPr>
            <w:r w:rsidRPr="008B43F6">
              <w:rPr>
                <w:rFonts w:eastAsia="Times New Roman" w:cs="Calibri"/>
                <w:b/>
                <w:bCs/>
                <w:color w:val="FFFFFF"/>
                <w:sz w:val="20"/>
                <w:szCs w:val="20"/>
              </w:rPr>
              <w:t>La sociedad</w:t>
            </w:r>
          </w:p>
        </w:tc>
        <w:tc>
          <w:tcPr>
            <w:tcW w:w="1192" w:type="dxa"/>
            <w:tcBorders>
              <w:top w:val="nil"/>
              <w:left w:val="nil"/>
              <w:bottom w:val="single" w:sz="4" w:space="0" w:color="808080" w:themeColor="background1" w:themeShade="80"/>
              <w:right w:val="single" w:sz="4" w:space="0" w:color="808080"/>
            </w:tcBorders>
            <w:shd w:val="clear" w:color="000000" w:fill="548DD4"/>
            <w:vAlign w:val="center"/>
            <w:hideMark/>
          </w:tcPr>
          <w:p w:rsidR="002C0CCF" w:rsidRPr="008B43F6" w:rsidRDefault="002C0CCF" w:rsidP="00C92E54">
            <w:pPr>
              <w:spacing w:after="0"/>
              <w:jc w:val="center"/>
              <w:rPr>
                <w:rFonts w:eastAsia="Times New Roman" w:cs="Calibri"/>
                <w:b/>
                <w:bCs/>
                <w:color w:val="FFFFFF"/>
                <w:sz w:val="20"/>
                <w:szCs w:val="20"/>
              </w:rPr>
            </w:pPr>
            <w:r w:rsidRPr="008B43F6">
              <w:rPr>
                <w:rFonts w:eastAsia="Times New Roman" w:cs="Calibri"/>
                <w:b/>
                <w:bCs/>
                <w:color w:val="FFFFFF"/>
                <w:sz w:val="20"/>
                <w:szCs w:val="20"/>
              </w:rPr>
              <w:t>El gobierno</w:t>
            </w:r>
          </w:p>
        </w:tc>
        <w:tc>
          <w:tcPr>
            <w:tcW w:w="941" w:type="dxa"/>
            <w:tcBorders>
              <w:top w:val="nil"/>
              <w:left w:val="nil"/>
              <w:bottom w:val="single" w:sz="4" w:space="0" w:color="808080" w:themeColor="background1" w:themeShade="80"/>
              <w:right w:val="single" w:sz="8" w:space="0" w:color="808080"/>
            </w:tcBorders>
            <w:shd w:val="clear" w:color="000000" w:fill="548DD4"/>
            <w:vAlign w:val="center"/>
            <w:hideMark/>
          </w:tcPr>
          <w:p w:rsidR="002C0CCF" w:rsidRPr="008B43F6" w:rsidRDefault="002C0CCF" w:rsidP="00C92E54">
            <w:pPr>
              <w:spacing w:after="0"/>
              <w:jc w:val="both"/>
              <w:rPr>
                <w:rFonts w:eastAsia="Times New Roman" w:cs="Calibri"/>
                <w:b/>
                <w:bCs/>
                <w:color w:val="FFFFFF"/>
                <w:sz w:val="20"/>
                <w:szCs w:val="20"/>
              </w:rPr>
            </w:pPr>
            <w:r w:rsidRPr="008B43F6">
              <w:rPr>
                <w:rFonts w:eastAsia="Times New Roman" w:cs="Calibri"/>
                <w:b/>
                <w:bCs/>
                <w:color w:val="FFFFFF"/>
                <w:sz w:val="20"/>
                <w:szCs w:val="20"/>
              </w:rPr>
              <w:t>Compañía energética</w:t>
            </w:r>
          </w:p>
        </w:tc>
      </w:tr>
      <w:tr w:rsidR="002C0CCF" w:rsidRPr="008B43F6" w:rsidTr="00F14047">
        <w:trPr>
          <w:trHeight w:val="661"/>
        </w:trPr>
        <w:tc>
          <w:tcPr>
            <w:tcW w:w="134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2C0CCF" w:rsidRPr="008B43F6" w:rsidRDefault="002C0CCF" w:rsidP="00C92E54">
            <w:pPr>
              <w:spacing w:after="0"/>
              <w:jc w:val="center"/>
              <w:rPr>
                <w:rFonts w:eastAsia="Times New Roman" w:cs="Calibri"/>
                <w:b/>
                <w:color w:val="000000"/>
                <w:sz w:val="20"/>
                <w:szCs w:val="20"/>
              </w:rPr>
            </w:pPr>
            <w:r w:rsidRPr="008B43F6">
              <w:rPr>
                <w:rFonts w:eastAsia="Times New Roman" w:cstheme="minorHAnsi"/>
                <w:b/>
                <w:color w:val="000000"/>
                <w:sz w:val="20"/>
                <w:szCs w:val="20"/>
              </w:rPr>
              <w:t xml:space="preserve">Co-beneficios económicos </w:t>
            </w:r>
          </w:p>
        </w:tc>
        <w:tc>
          <w:tcPr>
            <w:tcW w:w="37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hideMark/>
          </w:tcPr>
          <w:p w:rsidR="002C0CCF" w:rsidRPr="008B43F6" w:rsidRDefault="002C0CCF" w:rsidP="00C92E54">
            <w:pPr>
              <w:pStyle w:val="Ttulo4"/>
              <w:spacing w:before="0"/>
              <w:jc w:val="both"/>
              <w:rPr>
                <w:rFonts w:asciiTheme="minorHAnsi" w:eastAsiaTheme="minorHAnsi" w:hAnsiTheme="minorHAnsi" w:cstheme="minorHAnsi"/>
                <w:b w:val="0"/>
                <w:bCs w:val="0"/>
                <w:i w:val="0"/>
                <w:iCs w:val="0"/>
                <w:color w:val="auto"/>
                <w:sz w:val="20"/>
                <w:szCs w:val="20"/>
              </w:rPr>
            </w:pPr>
            <w:r w:rsidRPr="008B43F6">
              <w:rPr>
                <w:rFonts w:asciiTheme="minorHAnsi" w:eastAsiaTheme="minorHAnsi" w:hAnsiTheme="minorHAnsi" w:cstheme="minorHAnsi"/>
                <w:b w:val="0"/>
                <w:bCs w:val="0"/>
                <w:i w:val="0"/>
                <w:iCs w:val="0"/>
                <w:color w:val="auto"/>
                <w:sz w:val="20"/>
                <w:szCs w:val="20"/>
              </w:rPr>
              <w:t>Reducción en el pago de facturas [2]</w:t>
            </w:r>
          </w:p>
        </w:tc>
        <w:tc>
          <w:tcPr>
            <w:tcW w:w="10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r w:rsidRPr="008B43F6">
              <w:rPr>
                <w:rFonts w:eastAsia="Times New Roman" w:cs="Calibri"/>
                <w:color w:val="000000"/>
                <w:sz w:val="20"/>
                <w:szCs w:val="20"/>
              </w:rPr>
              <w:sym w:font="Symbol" w:char="F0B7"/>
            </w:r>
          </w:p>
        </w:tc>
        <w:tc>
          <w:tcPr>
            <w:tcW w:w="10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p>
        </w:tc>
        <w:tc>
          <w:tcPr>
            <w:tcW w:w="11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p>
        </w:tc>
        <w:tc>
          <w:tcPr>
            <w:tcW w:w="9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p>
        </w:tc>
      </w:tr>
      <w:tr w:rsidR="002C0CCF" w:rsidRPr="008B43F6" w:rsidTr="00F14047">
        <w:trPr>
          <w:trHeight w:val="304"/>
        </w:trPr>
        <w:tc>
          <w:tcPr>
            <w:tcW w:w="134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2C0CCF" w:rsidRPr="008B43F6" w:rsidRDefault="002C0CCF" w:rsidP="00C92E54">
            <w:pPr>
              <w:spacing w:after="0"/>
              <w:rPr>
                <w:rFonts w:eastAsia="Times New Roman" w:cs="Calibri"/>
                <w:b/>
                <w:color w:val="000000"/>
                <w:sz w:val="20"/>
                <w:szCs w:val="20"/>
              </w:rPr>
            </w:pPr>
          </w:p>
        </w:tc>
        <w:tc>
          <w:tcPr>
            <w:tcW w:w="37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hideMark/>
          </w:tcPr>
          <w:p w:rsidR="002C0CCF" w:rsidRPr="008B43F6" w:rsidRDefault="002C0CCF" w:rsidP="00C92E54">
            <w:pPr>
              <w:spacing w:after="0"/>
              <w:jc w:val="both"/>
              <w:rPr>
                <w:rFonts w:cstheme="minorHAnsi"/>
                <w:sz w:val="20"/>
                <w:szCs w:val="20"/>
              </w:rPr>
            </w:pPr>
            <w:r w:rsidRPr="008B43F6">
              <w:rPr>
                <w:rFonts w:cstheme="minorHAnsi"/>
                <w:sz w:val="20"/>
                <w:szCs w:val="20"/>
              </w:rPr>
              <w:t>Mayores ganancias de por vida [2]</w:t>
            </w:r>
          </w:p>
        </w:tc>
        <w:tc>
          <w:tcPr>
            <w:tcW w:w="10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r w:rsidRPr="008B43F6">
              <w:rPr>
                <w:rFonts w:eastAsia="Times New Roman" w:cs="Calibri"/>
                <w:color w:val="000000"/>
                <w:sz w:val="20"/>
                <w:szCs w:val="20"/>
              </w:rPr>
              <w:sym w:font="Symbol" w:char="F0B7"/>
            </w:r>
          </w:p>
        </w:tc>
        <w:tc>
          <w:tcPr>
            <w:tcW w:w="10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p>
        </w:tc>
        <w:tc>
          <w:tcPr>
            <w:tcW w:w="11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p>
        </w:tc>
        <w:tc>
          <w:tcPr>
            <w:tcW w:w="9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p>
        </w:tc>
      </w:tr>
      <w:tr w:rsidR="002C0CCF" w:rsidRPr="008B43F6" w:rsidTr="00F14047">
        <w:trPr>
          <w:trHeight w:val="304"/>
        </w:trPr>
        <w:tc>
          <w:tcPr>
            <w:tcW w:w="134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2C0CCF" w:rsidRPr="008B43F6" w:rsidRDefault="002C0CCF" w:rsidP="00C92E54">
            <w:pPr>
              <w:spacing w:after="0"/>
              <w:rPr>
                <w:rFonts w:eastAsia="Times New Roman" w:cs="Calibri"/>
                <w:b/>
                <w:color w:val="000000"/>
                <w:sz w:val="20"/>
                <w:szCs w:val="20"/>
              </w:rPr>
            </w:pPr>
          </w:p>
        </w:tc>
        <w:tc>
          <w:tcPr>
            <w:tcW w:w="37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hideMark/>
          </w:tcPr>
          <w:p w:rsidR="002C0CCF" w:rsidRPr="008B43F6" w:rsidRDefault="002C0CCF" w:rsidP="00C92E54">
            <w:pPr>
              <w:spacing w:after="0"/>
              <w:jc w:val="both"/>
              <w:rPr>
                <w:rFonts w:cstheme="minorHAnsi"/>
                <w:sz w:val="20"/>
                <w:szCs w:val="20"/>
              </w:rPr>
            </w:pPr>
            <w:r w:rsidRPr="008B43F6">
              <w:rPr>
                <w:rFonts w:cstheme="minorHAnsi"/>
                <w:sz w:val="20"/>
                <w:szCs w:val="20"/>
              </w:rPr>
              <w:t>Energéticos a precios más bajos [2]</w:t>
            </w:r>
          </w:p>
        </w:tc>
        <w:tc>
          <w:tcPr>
            <w:tcW w:w="10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r w:rsidRPr="008B43F6">
              <w:rPr>
                <w:rFonts w:eastAsia="Times New Roman" w:cs="Calibri"/>
                <w:color w:val="000000"/>
                <w:sz w:val="20"/>
                <w:szCs w:val="20"/>
              </w:rPr>
              <w:sym w:font="Symbol" w:char="F0B7"/>
            </w:r>
          </w:p>
        </w:tc>
        <w:tc>
          <w:tcPr>
            <w:tcW w:w="10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p>
        </w:tc>
        <w:tc>
          <w:tcPr>
            <w:tcW w:w="11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p>
        </w:tc>
        <w:tc>
          <w:tcPr>
            <w:tcW w:w="9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p>
        </w:tc>
      </w:tr>
      <w:tr w:rsidR="002C0CCF" w:rsidRPr="008B43F6" w:rsidTr="00F14047">
        <w:trPr>
          <w:trHeight w:val="304"/>
        </w:trPr>
        <w:tc>
          <w:tcPr>
            <w:tcW w:w="134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2C0CCF" w:rsidRPr="008B43F6" w:rsidRDefault="002C0CCF" w:rsidP="00C92E54">
            <w:pPr>
              <w:spacing w:after="0"/>
              <w:rPr>
                <w:rFonts w:eastAsia="Times New Roman" w:cs="Calibri"/>
                <w:b/>
                <w:color w:val="000000"/>
                <w:sz w:val="20"/>
                <w:szCs w:val="20"/>
              </w:rPr>
            </w:pPr>
          </w:p>
        </w:tc>
        <w:tc>
          <w:tcPr>
            <w:tcW w:w="37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hideMark/>
          </w:tcPr>
          <w:p w:rsidR="002C0CCF" w:rsidRPr="008B43F6" w:rsidRDefault="002C0CCF" w:rsidP="00C92E54">
            <w:pPr>
              <w:spacing w:after="0"/>
              <w:jc w:val="both"/>
              <w:rPr>
                <w:rFonts w:eastAsia="Times New Roman" w:cs="Calibri"/>
                <w:color w:val="000000"/>
                <w:sz w:val="20"/>
                <w:szCs w:val="20"/>
              </w:rPr>
            </w:pPr>
            <w:r w:rsidRPr="008B43F6">
              <w:rPr>
                <w:rFonts w:eastAsia="Times New Roman" w:cs="Calibri"/>
                <w:color w:val="000000"/>
                <w:sz w:val="20"/>
                <w:szCs w:val="20"/>
              </w:rPr>
              <w:t>Mayor vida útil de los edificios, tasas más bajas de desgaste y ciclos más largos de reacondicionamiento y reparación [9].</w:t>
            </w:r>
          </w:p>
        </w:tc>
        <w:tc>
          <w:tcPr>
            <w:tcW w:w="10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r w:rsidRPr="008B43F6">
              <w:rPr>
                <w:rFonts w:eastAsia="Times New Roman" w:cs="Calibri"/>
                <w:color w:val="000000"/>
                <w:sz w:val="20"/>
                <w:szCs w:val="20"/>
              </w:rPr>
              <w:sym w:font="Symbol" w:char="F0B7"/>
            </w:r>
          </w:p>
        </w:tc>
        <w:tc>
          <w:tcPr>
            <w:tcW w:w="10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p>
        </w:tc>
        <w:tc>
          <w:tcPr>
            <w:tcW w:w="11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p>
        </w:tc>
        <w:tc>
          <w:tcPr>
            <w:tcW w:w="9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p>
        </w:tc>
      </w:tr>
      <w:tr w:rsidR="002C0CCF" w:rsidRPr="008B43F6" w:rsidTr="00F14047">
        <w:trPr>
          <w:trHeight w:val="304"/>
        </w:trPr>
        <w:tc>
          <w:tcPr>
            <w:tcW w:w="134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2C0CCF" w:rsidRPr="008B43F6" w:rsidRDefault="002C0CCF" w:rsidP="00C92E54">
            <w:pPr>
              <w:spacing w:after="0"/>
              <w:rPr>
                <w:rFonts w:eastAsia="Times New Roman" w:cs="Calibri"/>
                <w:b/>
                <w:color w:val="000000"/>
                <w:sz w:val="20"/>
                <w:szCs w:val="20"/>
              </w:rPr>
            </w:pPr>
          </w:p>
        </w:tc>
        <w:tc>
          <w:tcPr>
            <w:tcW w:w="37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hideMark/>
          </w:tcPr>
          <w:p w:rsidR="002C0CCF" w:rsidRPr="008B43F6" w:rsidRDefault="002C0CCF" w:rsidP="00C92E54">
            <w:pPr>
              <w:spacing w:after="0"/>
              <w:jc w:val="both"/>
              <w:rPr>
                <w:rFonts w:eastAsia="Times New Roman" w:cs="Calibri"/>
                <w:color w:val="000000"/>
                <w:sz w:val="20"/>
                <w:szCs w:val="20"/>
              </w:rPr>
            </w:pPr>
            <w:r w:rsidRPr="008B43F6">
              <w:rPr>
                <w:rFonts w:eastAsia="Times New Roman" w:cs="Calibri"/>
                <w:color w:val="000000"/>
                <w:sz w:val="20"/>
                <w:szCs w:val="20"/>
              </w:rPr>
              <w:t>Eliminación de los cortes y las desconexiones de servicios [4].</w:t>
            </w:r>
          </w:p>
        </w:tc>
        <w:tc>
          <w:tcPr>
            <w:tcW w:w="10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r w:rsidRPr="008B43F6">
              <w:rPr>
                <w:rFonts w:eastAsia="Times New Roman" w:cs="Calibri"/>
                <w:color w:val="000000"/>
                <w:sz w:val="20"/>
                <w:szCs w:val="20"/>
              </w:rPr>
              <w:sym w:font="Symbol" w:char="F0B7"/>
            </w:r>
          </w:p>
        </w:tc>
        <w:tc>
          <w:tcPr>
            <w:tcW w:w="10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p>
        </w:tc>
        <w:tc>
          <w:tcPr>
            <w:tcW w:w="11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p>
        </w:tc>
        <w:tc>
          <w:tcPr>
            <w:tcW w:w="9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p>
        </w:tc>
      </w:tr>
      <w:tr w:rsidR="002C0CCF" w:rsidRPr="008B43F6" w:rsidTr="00F14047">
        <w:trPr>
          <w:trHeight w:val="304"/>
        </w:trPr>
        <w:tc>
          <w:tcPr>
            <w:tcW w:w="134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2C0CCF" w:rsidRPr="008B43F6" w:rsidRDefault="002C0CCF" w:rsidP="00C92E54">
            <w:pPr>
              <w:spacing w:after="0"/>
              <w:rPr>
                <w:rFonts w:eastAsia="Times New Roman" w:cs="Calibri"/>
                <w:b/>
                <w:color w:val="000000"/>
                <w:sz w:val="20"/>
                <w:szCs w:val="20"/>
              </w:rPr>
            </w:pPr>
          </w:p>
        </w:tc>
        <w:tc>
          <w:tcPr>
            <w:tcW w:w="37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hideMark/>
          </w:tcPr>
          <w:p w:rsidR="002C0CCF" w:rsidRPr="008B43F6" w:rsidRDefault="002C0CCF" w:rsidP="00C92E54">
            <w:pPr>
              <w:spacing w:after="0"/>
              <w:jc w:val="both"/>
              <w:rPr>
                <w:rFonts w:eastAsia="Times New Roman" w:cs="Calibri"/>
                <w:color w:val="000000"/>
                <w:sz w:val="20"/>
                <w:szCs w:val="20"/>
              </w:rPr>
            </w:pPr>
            <w:r w:rsidRPr="008B43F6">
              <w:rPr>
                <w:rFonts w:eastAsia="Times New Roman" w:cs="Calibri"/>
                <w:color w:val="000000"/>
                <w:sz w:val="20"/>
                <w:szCs w:val="20"/>
              </w:rPr>
              <w:t>Mayores posibilidades de alquilar o vender espacios energéticamente eficientes, mayor precio de los inmuebles [2, 4, 9].</w:t>
            </w:r>
          </w:p>
        </w:tc>
        <w:tc>
          <w:tcPr>
            <w:tcW w:w="10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r w:rsidRPr="008B43F6">
              <w:rPr>
                <w:rFonts w:eastAsia="Times New Roman" w:cs="Calibri"/>
                <w:color w:val="000000"/>
                <w:sz w:val="20"/>
                <w:szCs w:val="20"/>
              </w:rPr>
              <w:sym w:font="Symbol" w:char="F0B7"/>
            </w:r>
          </w:p>
        </w:tc>
        <w:tc>
          <w:tcPr>
            <w:tcW w:w="10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p>
        </w:tc>
        <w:tc>
          <w:tcPr>
            <w:tcW w:w="11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p>
        </w:tc>
        <w:tc>
          <w:tcPr>
            <w:tcW w:w="9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p>
        </w:tc>
      </w:tr>
      <w:tr w:rsidR="002C0CCF" w:rsidRPr="008B43F6" w:rsidTr="00F14047">
        <w:trPr>
          <w:trHeight w:val="304"/>
        </w:trPr>
        <w:tc>
          <w:tcPr>
            <w:tcW w:w="134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2C0CCF" w:rsidRPr="008B43F6" w:rsidRDefault="002C0CCF" w:rsidP="00C92E54">
            <w:pPr>
              <w:spacing w:after="0"/>
              <w:rPr>
                <w:rFonts w:eastAsia="Times New Roman" w:cs="Calibri"/>
                <w:b/>
                <w:color w:val="000000"/>
                <w:sz w:val="20"/>
                <w:szCs w:val="20"/>
              </w:rPr>
            </w:pPr>
          </w:p>
        </w:tc>
        <w:tc>
          <w:tcPr>
            <w:tcW w:w="37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hideMark/>
          </w:tcPr>
          <w:p w:rsidR="002C0CCF" w:rsidRPr="008B43F6" w:rsidRDefault="002C0CCF" w:rsidP="00C92E54">
            <w:pPr>
              <w:spacing w:after="0"/>
              <w:jc w:val="both"/>
              <w:rPr>
                <w:rFonts w:eastAsia="Times New Roman" w:cs="Calibri"/>
                <w:color w:val="000000"/>
                <w:sz w:val="20"/>
                <w:szCs w:val="20"/>
              </w:rPr>
            </w:pPr>
            <w:r w:rsidRPr="008B43F6">
              <w:rPr>
                <w:rFonts w:eastAsia="Times New Roman" w:cs="Calibri"/>
                <w:color w:val="000000"/>
                <w:sz w:val="20"/>
                <w:szCs w:val="20"/>
              </w:rPr>
              <w:t>Impactos positivos en investigación, innovación y desarrollo empresarial [9].</w:t>
            </w:r>
          </w:p>
        </w:tc>
        <w:tc>
          <w:tcPr>
            <w:tcW w:w="10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p>
        </w:tc>
        <w:tc>
          <w:tcPr>
            <w:tcW w:w="10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r w:rsidRPr="008B43F6">
              <w:rPr>
                <w:rFonts w:eastAsia="Times New Roman" w:cs="Calibri"/>
                <w:color w:val="000000"/>
                <w:sz w:val="20"/>
                <w:szCs w:val="20"/>
              </w:rPr>
              <w:sym w:font="Symbol" w:char="F0B7"/>
            </w:r>
          </w:p>
        </w:tc>
        <w:tc>
          <w:tcPr>
            <w:tcW w:w="11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p>
        </w:tc>
        <w:tc>
          <w:tcPr>
            <w:tcW w:w="9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p>
        </w:tc>
      </w:tr>
      <w:tr w:rsidR="002C0CCF" w:rsidRPr="008B43F6" w:rsidTr="00F14047">
        <w:trPr>
          <w:trHeight w:val="304"/>
        </w:trPr>
        <w:tc>
          <w:tcPr>
            <w:tcW w:w="134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2C0CCF" w:rsidRPr="008B43F6" w:rsidRDefault="002C0CCF" w:rsidP="00C92E54">
            <w:pPr>
              <w:spacing w:after="0"/>
              <w:rPr>
                <w:rFonts w:eastAsia="Times New Roman" w:cs="Calibri"/>
                <w:b/>
                <w:color w:val="000000"/>
                <w:sz w:val="20"/>
                <w:szCs w:val="20"/>
              </w:rPr>
            </w:pPr>
          </w:p>
        </w:tc>
        <w:tc>
          <w:tcPr>
            <w:tcW w:w="37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hideMark/>
          </w:tcPr>
          <w:p w:rsidR="002C0CCF" w:rsidRPr="008B43F6" w:rsidRDefault="002C0CCF" w:rsidP="00C92E54">
            <w:pPr>
              <w:spacing w:after="0"/>
              <w:jc w:val="both"/>
              <w:rPr>
                <w:rFonts w:eastAsia="Times New Roman" w:cs="Calibri"/>
                <w:color w:val="000000"/>
                <w:sz w:val="20"/>
                <w:szCs w:val="20"/>
              </w:rPr>
            </w:pPr>
            <w:r w:rsidRPr="008B43F6">
              <w:rPr>
                <w:rFonts w:eastAsia="Times New Roman" w:cs="Calibri"/>
                <w:color w:val="000000"/>
                <w:sz w:val="20"/>
                <w:szCs w:val="20"/>
              </w:rPr>
              <w:t xml:space="preserve">Creación de empleos y mejoramiento en la capacidad de aprender y obtener ingresos [2, 4, 6, 10]. </w:t>
            </w:r>
          </w:p>
        </w:tc>
        <w:tc>
          <w:tcPr>
            <w:tcW w:w="10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p>
        </w:tc>
        <w:tc>
          <w:tcPr>
            <w:tcW w:w="10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r w:rsidRPr="008B43F6">
              <w:rPr>
                <w:rFonts w:eastAsia="Times New Roman" w:cs="Calibri"/>
                <w:color w:val="000000"/>
                <w:sz w:val="20"/>
                <w:szCs w:val="20"/>
              </w:rPr>
              <w:sym w:font="Symbol" w:char="F0B7"/>
            </w:r>
          </w:p>
        </w:tc>
        <w:tc>
          <w:tcPr>
            <w:tcW w:w="11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p>
        </w:tc>
        <w:tc>
          <w:tcPr>
            <w:tcW w:w="9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p>
        </w:tc>
      </w:tr>
      <w:tr w:rsidR="002C0CCF" w:rsidRPr="008B43F6" w:rsidTr="00F14047">
        <w:trPr>
          <w:trHeight w:val="304"/>
        </w:trPr>
        <w:tc>
          <w:tcPr>
            <w:tcW w:w="134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2C0CCF" w:rsidRPr="008B43F6" w:rsidRDefault="002C0CCF" w:rsidP="00C92E54">
            <w:pPr>
              <w:spacing w:after="0"/>
              <w:rPr>
                <w:rFonts w:eastAsia="Times New Roman" w:cs="Calibri"/>
                <w:b/>
                <w:color w:val="000000"/>
                <w:sz w:val="20"/>
                <w:szCs w:val="20"/>
              </w:rPr>
            </w:pPr>
          </w:p>
        </w:tc>
        <w:tc>
          <w:tcPr>
            <w:tcW w:w="37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hideMark/>
          </w:tcPr>
          <w:p w:rsidR="002C0CCF" w:rsidRPr="008B43F6" w:rsidRDefault="002C0CCF" w:rsidP="00C92E54">
            <w:pPr>
              <w:spacing w:after="0"/>
              <w:rPr>
                <w:rFonts w:eastAsia="Times New Roman" w:cs="Calibri"/>
                <w:color w:val="000000"/>
                <w:sz w:val="20"/>
                <w:szCs w:val="20"/>
              </w:rPr>
            </w:pPr>
            <w:r w:rsidRPr="008B43F6">
              <w:rPr>
                <w:rFonts w:eastAsia="Times New Roman" w:cs="Calibri"/>
                <w:color w:val="000000"/>
                <w:sz w:val="20"/>
                <w:szCs w:val="20"/>
              </w:rPr>
              <w:t>Más dinero gastado en la comunidad [9].</w:t>
            </w:r>
          </w:p>
        </w:tc>
        <w:tc>
          <w:tcPr>
            <w:tcW w:w="10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p>
        </w:tc>
        <w:tc>
          <w:tcPr>
            <w:tcW w:w="10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r w:rsidRPr="008B43F6">
              <w:rPr>
                <w:rFonts w:eastAsia="Times New Roman" w:cs="Calibri"/>
                <w:color w:val="000000"/>
                <w:sz w:val="20"/>
                <w:szCs w:val="20"/>
              </w:rPr>
              <w:sym w:font="Symbol" w:char="F0B7"/>
            </w:r>
          </w:p>
        </w:tc>
        <w:tc>
          <w:tcPr>
            <w:tcW w:w="11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p>
        </w:tc>
        <w:tc>
          <w:tcPr>
            <w:tcW w:w="9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p>
        </w:tc>
      </w:tr>
      <w:tr w:rsidR="002C0CCF" w:rsidRPr="008B43F6" w:rsidTr="00F14047">
        <w:trPr>
          <w:trHeight w:val="304"/>
        </w:trPr>
        <w:tc>
          <w:tcPr>
            <w:tcW w:w="134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2C0CCF" w:rsidRPr="008B43F6" w:rsidRDefault="002C0CCF" w:rsidP="00C92E54">
            <w:pPr>
              <w:spacing w:after="0"/>
              <w:rPr>
                <w:rFonts w:eastAsia="Times New Roman" w:cs="Calibri"/>
                <w:b/>
                <w:color w:val="000000"/>
                <w:sz w:val="20"/>
                <w:szCs w:val="20"/>
              </w:rPr>
            </w:pPr>
          </w:p>
        </w:tc>
        <w:tc>
          <w:tcPr>
            <w:tcW w:w="37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hideMark/>
          </w:tcPr>
          <w:p w:rsidR="002C0CCF" w:rsidRPr="008B43F6" w:rsidRDefault="002C0CCF" w:rsidP="00C92E54">
            <w:pPr>
              <w:spacing w:after="0"/>
              <w:jc w:val="both"/>
              <w:rPr>
                <w:rFonts w:eastAsia="Times New Roman" w:cs="Calibri"/>
                <w:color w:val="000000"/>
                <w:sz w:val="20"/>
                <w:szCs w:val="20"/>
              </w:rPr>
            </w:pPr>
            <w:r w:rsidRPr="008B43F6">
              <w:rPr>
                <w:rFonts w:eastAsia="Times New Roman" w:cs="Calibri"/>
                <w:color w:val="000000"/>
                <w:sz w:val="20"/>
                <w:szCs w:val="20"/>
              </w:rPr>
              <w:t>Nuevas oportunidades de negocio [2].</w:t>
            </w:r>
          </w:p>
        </w:tc>
        <w:tc>
          <w:tcPr>
            <w:tcW w:w="10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p>
        </w:tc>
        <w:tc>
          <w:tcPr>
            <w:tcW w:w="10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r w:rsidRPr="008B43F6">
              <w:rPr>
                <w:rFonts w:eastAsia="Times New Roman" w:cs="Calibri"/>
                <w:color w:val="000000"/>
                <w:sz w:val="20"/>
                <w:szCs w:val="20"/>
              </w:rPr>
              <w:sym w:font="Symbol" w:char="F0B7"/>
            </w:r>
          </w:p>
        </w:tc>
        <w:tc>
          <w:tcPr>
            <w:tcW w:w="11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p>
        </w:tc>
        <w:tc>
          <w:tcPr>
            <w:tcW w:w="9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p>
        </w:tc>
      </w:tr>
      <w:tr w:rsidR="002C0CCF" w:rsidRPr="008B43F6" w:rsidTr="00F14047">
        <w:trPr>
          <w:trHeight w:val="304"/>
        </w:trPr>
        <w:tc>
          <w:tcPr>
            <w:tcW w:w="134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2C0CCF" w:rsidRPr="008B43F6" w:rsidRDefault="002C0CCF" w:rsidP="00C92E54">
            <w:pPr>
              <w:spacing w:after="0"/>
              <w:rPr>
                <w:rFonts w:eastAsia="Times New Roman" w:cs="Calibri"/>
                <w:b/>
                <w:color w:val="000000"/>
                <w:sz w:val="20"/>
                <w:szCs w:val="20"/>
              </w:rPr>
            </w:pPr>
          </w:p>
        </w:tc>
        <w:tc>
          <w:tcPr>
            <w:tcW w:w="37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hideMark/>
          </w:tcPr>
          <w:p w:rsidR="002C0CCF" w:rsidRPr="008B43F6" w:rsidRDefault="002C0CCF" w:rsidP="00C92E54">
            <w:pPr>
              <w:spacing w:after="0"/>
              <w:jc w:val="both"/>
              <w:rPr>
                <w:rFonts w:eastAsia="Times New Roman" w:cs="Calibri"/>
                <w:color w:val="000000"/>
                <w:sz w:val="20"/>
                <w:szCs w:val="20"/>
              </w:rPr>
            </w:pPr>
            <w:r w:rsidRPr="008B43F6">
              <w:rPr>
                <w:rFonts w:eastAsia="Times New Roman" w:cs="Calibri"/>
                <w:color w:val="000000"/>
                <w:sz w:val="20"/>
                <w:szCs w:val="20"/>
              </w:rPr>
              <w:t>Mejoramiento en la calidad estética de los edificios y las comunidades [4, 6].</w:t>
            </w:r>
          </w:p>
        </w:tc>
        <w:tc>
          <w:tcPr>
            <w:tcW w:w="10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p>
        </w:tc>
        <w:tc>
          <w:tcPr>
            <w:tcW w:w="10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r w:rsidRPr="008B43F6">
              <w:rPr>
                <w:rFonts w:eastAsia="Times New Roman" w:cs="Calibri"/>
                <w:color w:val="000000"/>
                <w:sz w:val="20"/>
                <w:szCs w:val="20"/>
              </w:rPr>
              <w:sym w:font="Symbol" w:char="F0B7"/>
            </w:r>
          </w:p>
        </w:tc>
        <w:tc>
          <w:tcPr>
            <w:tcW w:w="11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p>
        </w:tc>
        <w:tc>
          <w:tcPr>
            <w:tcW w:w="9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p>
        </w:tc>
      </w:tr>
      <w:tr w:rsidR="002C0CCF" w:rsidRPr="008B43F6" w:rsidTr="00F14047">
        <w:trPr>
          <w:trHeight w:val="304"/>
        </w:trPr>
        <w:tc>
          <w:tcPr>
            <w:tcW w:w="134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2C0CCF" w:rsidRPr="008B43F6" w:rsidRDefault="002C0CCF" w:rsidP="00C92E54">
            <w:pPr>
              <w:spacing w:after="0"/>
              <w:rPr>
                <w:rFonts w:eastAsia="Times New Roman" w:cs="Calibri"/>
                <w:b/>
                <w:color w:val="000000"/>
                <w:sz w:val="20"/>
                <w:szCs w:val="20"/>
              </w:rPr>
            </w:pPr>
          </w:p>
        </w:tc>
        <w:tc>
          <w:tcPr>
            <w:tcW w:w="37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hideMark/>
          </w:tcPr>
          <w:p w:rsidR="002C0CCF" w:rsidRPr="008B43F6" w:rsidRDefault="002C0CCF" w:rsidP="00C92E54">
            <w:pPr>
              <w:spacing w:after="0"/>
              <w:jc w:val="both"/>
              <w:rPr>
                <w:rFonts w:eastAsia="Times New Roman" w:cs="Calibri"/>
                <w:color w:val="000000"/>
                <w:sz w:val="20"/>
                <w:szCs w:val="20"/>
              </w:rPr>
            </w:pPr>
            <w:r w:rsidRPr="008B43F6">
              <w:rPr>
                <w:rFonts w:eastAsia="Times New Roman" w:cs="Calibri"/>
                <w:color w:val="000000"/>
                <w:sz w:val="20"/>
                <w:szCs w:val="20"/>
              </w:rPr>
              <w:t>Aumento en la productividad [2, 4].</w:t>
            </w:r>
          </w:p>
        </w:tc>
        <w:tc>
          <w:tcPr>
            <w:tcW w:w="10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p>
        </w:tc>
        <w:tc>
          <w:tcPr>
            <w:tcW w:w="10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r w:rsidRPr="008B43F6">
              <w:rPr>
                <w:rFonts w:eastAsia="Times New Roman" w:cs="Calibri"/>
                <w:color w:val="000000"/>
                <w:sz w:val="20"/>
                <w:szCs w:val="20"/>
              </w:rPr>
              <w:sym w:font="Symbol" w:char="F0B7"/>
            </w:r>
          </w:p>
        </w:tc>
        <w:tc>
          <w:tcPr>
            <w:tcW w:w="11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p>
        </w:tc>
        <w:tc>
          <w:tcPr>
            <w:tcW w:w="9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p>
        </w:tc>
      </w:tr>
      <w:tr w:rsidR="002C0CCF" w:rsidRPr="008B43F6" w:rsidTr="00F14047">
        <w:trPr>
          <w:trHeight w:val="304"/>
        </w:trPr>
        <w:tc>
          <w:tcPr>
            <w:tcW w:w="134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2C0CCF" w:rsidRPr="008B43F6" w:rsidRDefault="002C0CCF" w:rsidP="00C92E54">
            <w:pPr>
              <w:spacing w:after="0"/>
              <w:rPr>
                <w:rFonts w:eastAsia="Times New Roman" w:cs="Calibri"/>
                <w:b/>
                <w:color w:val="000000"/>
                <w:sz w:val="20"/>
                <w:szCs w:val="20"/>
              </w:rPr>
            </w:pPr>
          </w:p>
        </w:tc>
        <w:tc>
          <w:tcPr>
            <w:tcW w:w="37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hideMark/>
          </w:tcPr>
          <w:p w:rsidR="002C0CCF" w:rsidRPr="008B43F6" w:rsidRDefault="002C0CCF" w:rsidP="00C92E54">
            <w:pPr>
              <w:spacing w:after="0"/>
              <w:jc w:val="both"/>
              <w:rPr>
                <w:rFonts w:eastAsia="Times New Roman" w:cs="Calibri"/>
                <w:color w:val="000000"/>
                <w:sz w:val="20"/>
                <w:szCs w:val="20"/>
              </w:rPr>
            </w:pPr>
            <w:r w:rsidRPr="008B43F6">
              <w:rPr>
                <w:rFonts w:eastAsia="Times New Roman" w:cs="Calibri"/>
                <w:color w:val="000000"/>
                <w:sz w:val="20"/>
                <w:szCs w:val="20"/>
              </w:rPr>
              <w:t>Reducción en los gastos de los subsidios a las tarifas [4, 5].</w:t>
            </w:r>
          </w:p>
        </w:tc>
        <w:tc>
          <w:tcPr>
            <w:tcW w:w="10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p>
        </w:tc>
        <w:tc>
          <w:tcPr>
            <w:tcW w:w="10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p>
        </w:tc>
        <w:tc>
          <w:tcPr>
            <w:tcW w:w="11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r w:rsidRPr="008B43F6">
              <w:rPr>
                <w:rFonts w:eastAsia="Times New Roman" w:cs="Calibri"/>
                <w:color w:val="000000"/>
                <w:sz w:val="20"/>
                <w:szCs w:val="20"/>
              </w:rPr>
              <w:sym w:font="Symbol" w:char="F0B7"/>
            </w:r>
          </w:p>
        </w:tc>
        <w:tc>
          <w:tcPr>
            <w:tcW w:w="9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p>
        </w:tc>
      </w:tr>
      <w:tr w:rsidR="002C0CCF" w:rsidRPr="008B43F6" w:rsidTr="00F14047">
        <w:trPr>
          <w:trHeight w:val="304"/>
        </w:trPr>
        <w:tc>
          <w:tcPr>
            <w:tcW w:w="134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2C0CCF" w:rsidRPr="008B43F6" w:rsidRDefault="002C0CCF" w:rsidP="00C92E54">
            <w:pPr>
              <w:spacing w:after="0"/>
              <w:rPr>
                <w:rFonts w:eastAsia="Times New Roman" w:cs="Calibri"/>
                <w:b/>
                <w:color w:val="000000"/>
                <w:sz w:val="20"/>
                <w:szCs w:val="20"/>
              </w:rPr>
            </w:pPr>
          </w:p>
        </w:tc>
        <w:tc>
          <w:tcPr>
            <w:tcW w:w="37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hideMark/>
          </w:tcPr>
          <w:p w:rsidR="002C0CCF" w:rsidRPr="008B43F6" w:rsidRDefault="002C0CCF" w:rsidP="00C92E54">
            <w:pPr>
              <w:spacing w:after="0"/>
              <w:jc w:val="both"/>
              <w:rPr>
                <w:rFonts w:eastAsia="Times New Roman" w:cs="Calibri"/>
                <w:color w:val="000000"/>
                <w:sz w:val="20"/>
                <w:szCs w:val="20"/>
              </w:rPr>
            </w:pPr>
            <w:r w:rsidRPr="008B43F6">
              <w:rPr>
                <w:rFonts w:eastAsia="Times New Roman" w:cs="Calibri"/>
                <w:color w:val="000000"/>
                <w:sz w:val="20"/>
                <w:szCs w:val="20"/>
              </w:rPr>
              <w:t xml:space="preserve">Ahorros por concepto de agua y </w:t>
            </w:r>
            <w:r w:rsidRPr="008B43F6">
              <w:rPr>
                <w:rFonts w:eastAsia="Times New Roman" w:cs="Calibri"/>
                <w:color w:val="000000"/>
                <w:sz w:val="20"/>
                <w:szCs w:val="20"/>
              </w:rPr>
              <w:lastRenderedPageBreak/>
              <w:t>drenaje [4].</w:t>
            </w:r>
          </w:p>
        </w:tc>
        <w:tc>
          <w:tcPr>
            <w:tcW w:w="10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p>
        </w:tc>
        <w:tc>
          <w:tcPr>
            <w:tcW w:w="10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p>
        </w:tc>
        <w:tc>
          <w:tcPr>
            <w:tcW w:w="11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r w:rsidRPr="008B43F6">
              <w:rPr>
                <w:rFonts w:eastAsia="Times New Roman" w:cs="Calibri"/>
                <w:color w:val="000000"/>
                <w:sz w:val="20"/>
                <w:szCs w:val="20"/>
              </w:rPr>
              <w:sym w:font="Symbol" w:char="F0B7"/>
            </w:r>
          </w:p>
        </w:tc>
        <w:tc>
          <w:tcPr>
            <w:tcW w:w="9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p>
        </w:tc>
      </w:tr>
      <w:tr w:rsidR="002C0CCF" w:rsidRPr="008B43F6" w:rsidTr="00F14047">
        <w:trPr>
          <w:trHeight w:val="304"/>
        </w:trPr>
        <w:tc>
          <w:tcPr>
            <w:tcW w:w="134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2C0CCF" w:rsidRPr="008B43F6" w:rsidRDefault="002C0CCF" w:rsidP="00C92E54">
            <w:pPr>
              <w:spacing w:after="0"/>
              <w:rPr>
                <w:rFonts w:eastAsia="Times New Roman" w:cs="Calibri"/>
                <w:b/>
                <w:color w:val="000000"/>
                <w:sz w:val="20"/>
                <w:szCs w:val="20"/>
              </w:rPr>
            </w:pPr>
          </w:p>
        </w:tc>
        <w:tc>
          <w:tcPr>
            <w:tcW w:w="37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hideMark/>
          </w:tcPr>
          <w:p w:rsidR="002C0CCF" w:rsidRPr="008B43F6" w:rsidRDefault="002C0CCF" w:rsidP="00C92E54">
            <w:pPr>
              <w:spacing w:after="0"/>
              <w:jc w:val="both"/>
              <w:rPr>
                <w:rFonts w:eastAsia="Times New Roman" w:cs="Calibri"/>
                <w:color w:val="000000"/>
                <w:sz w:val="20"/>
                <w:szCs w:val="20"/>
              </w:rPr>
            </w:pPr>
            <w:r w:rsidRPr="008B43F6">
              <w:rPr>
                <w:rFonts w:eastAsia="Times New Roman" w:cs="Calibri"/>
                <w:color w:val="000000"/>
                <w:sz w:val="20"/>
                <w:szCs w:val="20"/>
              </w:rPr>
              <w:t>Aumentos en la recaudación de impuestos federales [4, 5]</w:t>
            </w:r>
          </w:p>
        </w:tc>
        <w:tc>
          <w:tcPr>
            <w:tcW w:w="10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p>
        </w:tc>
        <w:tc>
          <w:tcPr>
            <w:tcW w:w="10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p>
        </w:tc>
        <w:tc>
          <w:tcPr>
            <w:tcW w:w="11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r w:rsidRPr="008B43F6">
              <w:rPr>
                <w:rFonts w:eastAsia="Times New Roman" w:cs="Calibri"/>
                <w:color w:val="000000"/>
                <w:sz w:val="20"/>
                <w:szCs w:val="20"/>
              </w:rPr>
              <w:sym w:font="Symbol" w:char="F0B7"/>
            </w:r>
          </w:p>
        </w:tc>
        <w:tc>
          <w:tcPr>
            <w:tcW w:w="9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p>
        </w:tc>
      </w:tr>
      <w:tr w:rsidR="002C0CCF" w:rsidRPr="008B43F6" w:rsidTr="00F14047">
        <w:trPr>
          <w:trHeight w:val="304"/>
        </w:trPr>
        <w:tc>
          <w:tcPr>
            <w:tcW w:w="134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2C0CCF" w:rsidRPr="008B43F6" w:rsidRDefault="002C0CCF" w:rsidP="00C92E54">
            <w:pPr>
              <w:spacing w:after="0"/>
              <w:rPr>
                <w:rFonts w:eastAsia="Times New Roman" w:cs="Calibri"/>
                <w:b/>
                <w:color w:val="000000"/>
                <w:sz w:val="20"/>
                <w:szCs w:val="20"/>
              </w:rPr>
            </w:pPr>
          </w:p>
        </w:tc>
        <w:tc>
          <w:tcPr>
            <w:tcW w:w="37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hideMark/>
          </w:tcPr>
          <w:p w:rsidR="002C0CCF" w:rsidRPr="008B43F6" w:rsidRDefault="002C0CCF" w:rsidP="00C92E54">
            <w:pPr>
              <w:spacing w:after="0"/>
              <w:jc w:val="both"/>
              <w:rPr>
                <w:rFonts w:eastAsia="Times New Roman" w:cs="Calibri"/>
                <w:color w:val="000000"/>
                <w:sz w:val="20"/>
                <w:szCs w:val="20"/>
              </w:rPr>
            </w:pPr>
            <w:r w:rsidRPr="008B43F6">
              <w:rPr>
                <w:rFonts w:eastAsia="Times New Roman" w:cs="Calibri"/>
                <w:color w:val="000000"/>
                <w:sz w:val="20"/>
                <w:szCs w:val="20"/>
              </w:rPr>
              <w:t>Eliminación de los costos para reducir la contaminación del aire [1].</w:t>
            </w:r>
          </w:p>
        </w:tc>
        <w:tc>
          <w:tcPr>
            <w:tcW w:w="10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p>
        </w:tc>
        <w:tc>
          <w:tcPr>
            <w:tcW w:w="10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p>
        </w:tc>
        <w:tc>
          <w:tcPr>
            <w:tcW w:w="11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p>
        </w:tc>
        <w:tc>
          <w:tcPr>
            <w:tcW w:w="9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bottom"/>
            <w:hideMark/>
          </w:tcPr>
          <w:p w:rsidR="002C0CCF" w:rsidRPr="008B43F6" w:rsidRDefault="002C0CCF" w:rsidP="00C92E54">
            <w:pPr>
              <w:spacing w:after="0"/>
              <w:jc w:val="center"/>
              <w:rPr>
                <w:rFonts w:eastAsia="Times New Roman" w:cs="Calibri"/>
                <w:color w:val="000000"/>
                <w:sz w:val="20"/>
                <w:szCs w:val="20"/>
              </w:rPr>
            </w:pPr>
            <w:r w:rsidRPr="008B43F6">
              <w:rPr>
                <w:rFonts w:eastAsia="Times New Roman" w:cs="Calibri"/>
                <w:color w:val="000000"/>
                <w:sz w:val="20"/>
                <w:szCs w:val="20"/>
              </w:rPr>
              <w:sym w:font="Symbol" w:char="F0B7"/>
            </w:r>
          </w:p>
        </w:tc>
      </w:tr>
    </w:tbl>
    <w:p w:rsidR="002C0CCF" w:rsidRPr="008B43F6" w:rsidRDefault="002C0CCF" w:rsidP="00C92E54">
      <w:pPr>
        <w:tabs>
          <w:tab w:val="left" w:pos="1526"/>
          <w:tab w:val="left" w:pos="5210"/>
        </w:tabs>
        <w:spacing w:after="0"/>
        <w:ind w:left="93"/>
        <w:rPr>
          <w:rFonts w:eastAsia="Times New Roman" w:cs="Calibri"/>
          <w:color w:val="000000"/>
          <w:sz w:val="20"/>
          <w:szCs w:val="20"/>
        </w:rPr>
      </w:pPr>
    </w:p>
    <w:p w:rsidR="002C0CCF" w:rsidRPr="008B43F6" w:rsidRDefault="002C0CCF" w:rsidP="00C92E54">
      <w:pPr>
        <w:jc w:val="both"/>
        <w:rPr>
          <w:rFonts w:cstheme="minorHAnsi"/>
          <w:sz w:val="24"/>
          <w:szCs w:val="24"/>
        </w:rPr>
      </w:pPr>
      <w:r w:rsidRPr="008B43F6">
        <w:rPr>
          <w:rFonts w:cstheme="minorHAnsi"/>
          <w:b/>
          <w:sz w:val="24"/>
          <w:szCs w:val="24"/>
        </w:rPr>
        <w:t xml:space="preserve">Tabla 1.(cont.) </w:t>
      </w:r>
      <w:r w:rsidRPr="008B43F6">
        <w:rPr>
          <w:rFonts w:cstheme="minorHAnsi"/>
          <w:sz w:val="24"/>
          <w:szCs w:val="24"/>
        </w:rPr>
        <w:t>Co-beneficios derivados de las medidas de eficiencia energética en los edificios residenciales</w:t>
      </w:r>
    </w:p>
    <w:tbl>
      <w:tblPr>
        <w:tblW w:w="9100" w:type="dxa"/>
        <w:tblInd w:w="93" w:type="dxa"/>
        <w:tblLook w:val="04A0" w:firstRow="1" w:lastRow="0" w:firstColumn="1" w:lastColumn="0" w:noHBand="0" w:noVBand="1"/>
      </w:tblPr>
      <w:tblGrid>
        <w:gridCol w:w="1268"/>
        <w:gridCol w:w="2993"/>
        <w:gridCol w:w="1636"/>
        <w:gridCol w:w="951"/>
        <w:gridCol w:w="1159"/>
        <w:gridCol w:w="1093"/>
      </w:tblGrid>
      <w:tr w:rsidR="002C0CCF" w:rsidRPr="008B43F6" w:rsidTr="00F14047">
        <w:trPr>
          <w:trHeight w:val="300"/>
        </w:trPr>
        <w:tc>
          <w:tcPr>
            <w:tcW w:w="1268" w:type="dxa"/>
            <w:tcBorders>
              <w:top w:val="single" w:sz="8" w:space="0" w:color="808080"/>
              <w:left w:val="single" w:sz="8" w:space="0" w:color="808080"/>
              <w:bottom w:val="nil"/>
              <w:right w:val="single" w:sz="4" w:space="0" w:color="808080" w:themeColor="background1" w:themeShade="80"/>
            </w:tcBorders>
            <w:shd w:val="clear" w:color="000000" w:fill="538DD5"/>
            <w:noWrap/>
            <w:vAlign w:val="bottom"/>
            <w:hideMark/>
          </w:tcPr>
          <w:p w:rsidR="002C0CCF" w:rsidRPr="008B43F6" w:rsidRDefault="002C0CCF" w:rsidP="00C92E54">
            <w:pPr>
              <w:spacing w:after="0"/>
              <w:rPr>
                <w:rFonts w:eastAsia="Times New Roman" w:cs="Calibri"/>
                <w:color w:val="000000"/>
                <w:sz w:val="20"/>
                <w:szCs w:val="20"/>
              </w:rPr>
            </w:pPr>
            <w:r w:rsidRPr="008B43F6">
              <w:rPr>
                <w:rFonts w:eastAsia="Times New Roman" w:cs="Calibri"/>
                <w:color w:val="000000"/>
                <w:sz w:val="20"/>
                <w:szCs w:val="20"/>
              </w:rPr>
              <w:t> </w:t>
            </w:r>
          </w:p>
        </w:tc>
        <w:tc>
          <w:tcPr>
            <w:tcW w:w="3031" w:type="dxa"/>
            <w:tcBorders>
              <w:top w:val="single" w:sz="8" w:space="0" w:color="808080"/>
              <w:left w:val="single" w:sz="4" w:space="0" w:color="808080" w:themeColor="background1" w:themeShade="80"/>
              <w:bottom w:val="nil"/>
              <w:right w:val="nil"/>
            </w:tcBorders>
            <w:shd w:val="clear" w:color="000000" w:fill="538DD5"/>
            <w:vAlign w:val="bottom"/>
            <w:hideMark/>
          </w:tcPr>
          <w:p w:rsidR="002C0CCF" w:rsidRPr="008B43F6" w:rsidRDefault="002C0CCF" w:rsidP="00C92E54">
            <w:pPr>
              <w:spacing w:after="0"/>
              <w:rPr>
                <w:rFonts w:eastAsia="Times New Roman" w:cs="Calibri"/>
                <w:color w:val="000000"/>
                <w:sz w:val="20"/>
                <w:szCs w:val="20"/>
              </w:rPr>
            </w:pPr>
            <w:r w:rsidRPr="008B43F6">
              <w:rPr>
                <w:rFonts w:eastAsia="Times New Roman" w:cs="Calibri"/>
                <w:color w:val="000000"/>
                <w:sz w:val="20"/>
                <w:szCs w:val="20"/>
              </w:rPr>
              <w:t> </w:t>
            </w:r>
          </w:p>
        </w:tc>
        <w:tc>
          <w:tcPr>
            <w:tcW w:w="4801" w:type="dxa"/>
            <w:gridSpan w:val="4"/>
            <w:tcBorders>
              <w:top w:val="single" w:sz="8" w:space="0" w:color="808080"/>
              <w:left w:val="single" w:sz="4" w:space="0" w:color="808080"/>
              <w:bottom w:val="single" w:sz="4" w:space="0" w:color="808080"/>
              <w:right w:val="single" w:sz="8" w:space="0" w:color="808080"/>
            </w:tcBorders>
            <w:shd w:val="clear" w:color="000000" w:fill="538DD5"/>
            <w:noWrap/>
            <w:vAlign w:val="bottom"/>
            <w:hideMark/>
          </w:tcPr>
          <w:p w:rsidR="002C0CCF" w:rsidRPr="008B43F6" w:rsidRDefault="002C0CCF" w:rsidP="00C92E54">
            <w:pPr>
              <w:spacing w:after="0"/>
              <w:jc w:val="center"/>
              <w:rPr>
                <w:rFonts w:eastAsia="Times New Roman" w:cs="Calibri"/>
                <w:b/>
                <w:bCs/>
                <w:color w:val="FFFFFF"/>
                <w:sz w:val="20"/>
                <w:szCs w:val="20"/>
              </w:rPr>
            </w:pPr>
            <w:r w:rsidRPr="008B43F6">
              <w:rPr>
                <w:rFonts w:eastAsia="Times New Roman" w:cs="Calibri"/>
                <w:b/>
                <w:bCs/>
                <w:color w:val="FFFFFF"/>
                <w:sz w:val="20"/>
                <w:szCs w:val="20"/>
              </w:rPr>
              <w:t>Principal grupo beneficiario</w:t>
            </w:r>
          </w:p>
        </w:tc>
      </w:tr>
      <w:tr w:rsidR="002C0CCF" w:rsidRPr="008B43F6" w:rsidTr="00F14047">
        <w:trPr>
          <w:trHeight w:val="315"/>
        </w:trPr>
        <w:tc>
          <w:tcPr>
            <w:tcW w:w="1268" w:type="dxa"/>
            <w:tcBorders>
              <w:top w:val="nil"/>
              <w:left w:val="single" w:sz="8" w:space="0" w:color="808080"/>
              <w:bottom w:val="single" w:sz="4" w:space="0" w:color="808080" w:themeColor="background1" w:themeShade="80"/>
              <w:right w:val="single" w:sz="4" w:space="0" w:color="808080"/>
            </w:tcBorders>
            <w:shd w:val="clear" w:color="000000" w:fill="538DD5"/>
            <w:vAlign w:val="center"/>
            <w:hideMark/>
          </w:tcPr>
          <w:p w:rsidR="002C0CCF" w:rsidRPr="008B43F6" w:rsidRDefault="002C0CCF" w:rsidP="00C92E54">
            <w:pPr>
              <w:spacing w:after="0"/>
              <w:rPr>
                <w:rFonts w:eastAsia="Times New Roman" w:cs="Calibri"/>
                <w:b/>
                <w:bCs/>
                <w:color w:val="FFFFFF"/>
                <w:sz w:val="20"/>
                <w:szCs w:val="20"/>
              </w:rPr>
            </w:pPr>
            <w:r w:rsidRPr="008B43F6">
              <w:rPr>
                <w:rFonts w:eastAsia="Times New Roman" w:cs="Calibri"/>
                <w:b/>
                <w:bCs/>
                <w:color w:val="FFFFFF"/>
                <w:sz w:val="20"/>
                <w:szCs w:val="20"/>
              </w:rPr>
              <w:t>Categoría</w:t>
            </w:r>
          </w:p>
        </w:tc>
        <w:tc>
          <w:tcPr>
            <w:tcW w:w="3031" w:type="dxa"/>
            <w:tcBorders>
              <w:top w:val="nil"/>
              <w:left w:val="nil"/>
              <w:bottom w:val="single" w:sz="4" w:space="0" w:color="808080" w:themeColor="background1" w:themeShade="80"/>
              <w:right w:val="single" w:sz="4" w:space="0" w:color="808080"/>
            </w:tcBorders>
            <w:shd w:val="clear" w:color="000000" w:fill="548DD4"/>
            <w:vAlign w:val="center"/>
            <w:hideMark/>
          </w:tcPr>
          <w:p w:rsidR="002C0CCF" w:rsidRPr="008B43F6" w:rsidRDefault="002C0CCF" w:rsidP="00C92E54">
            <w:pPr>
              <w:spacing w:after="0"/>
              <w:rPr>
                <w:rFonts w:eastAsia="Times New Roman" w:cs="Calibri"/>
                <w:b/>
                <w:bCs/>
                <w:color w:val="FFFFFF"/>
                <w:sz w:val="20"/>
                <w:szCs w:val="20"/>
              </w:rPr>
            </w:pPr>
            <w:r w:rsidRPr="008B43F6">
              <w:rPr>
                <w:rFonts w:eastAsia="Times New Roman" w:cs="Calibri"/>
                <w:b/>
                <w:bCs/>
                <w:color w:val="FFFFFF"/>
                <w:sz w:val="20"/>
                <w:szCs w:val="20"/>
              </w:rPr>
              <w:t>Sub-categoría de beneficio no-energético</w:t>
            </w:r>
          </w:p>
        </w:tc>
        <w:tc>
          <w:tcPr>
            <w:tcW w:w="1636" w:type="dxa"/>
            <w:tcBorders>
              <w:top w:val="nil"/>
              <w:left w:val="nil"/>
              <w:bottom w:val="single" w:sz="4" w:space="0" w:color="808080" w:themeColor="background1" w:themeShade="80"/>
              <w:right w:val="single" w:sz="4" w:space="0" w:color="808080"/>
            </w:tcBorders>
            <w:shd w:val="clear" w:color="000000" w:fill="548DD4"/>
            <w:vAlign w:val="center"/>
            <w:hideMark/>
          </w:tcPr>
          <w:p w:rsidR="002C0CCF" w:rsidRPr="008B43F6" w:rsidRDefault="002C0CCF" w:rsidP="00C92E54">
            <w:pPr>
              <w:spacing w:after="0"/>
              <w:jc w:val="center"/>
              <w:rPr>
                <w:rFonts w:eastAsia="Times New Roman" w:cs="Calibri"/>
                <w:b/>
                <w:bCs/>
                <w:color w:val="FFFFFF"/>
                <w:sz w:val="20"/>
                <w:szCs w:val="20"/>
              </w:rPr>
            </w:pPr>
            <w:r w:rsidRPr="008B43F6">
              <w:rPr>
                <w:rFonts w:eastAsia="Times New Roman" w:cs="Calibri"/>
                <w:b/>
                <w:bCs/>
                <w:color w:val="FFFFFF"/>
                <w:sz w:val="20"/>
                <w:szCs w:val="20"/>
              </w:rPr>
              <w:t>Usuarios/dueños de los</w:t>
            </w:r>
          </w:p>
          <w:p w:rsidR="002C0CCF" w:rsidRPr="008B43F6" w:rsidRDefault="002C0CCF" w:rsidP="00C92E54">
            <w:pPr>
              <w:spacing w:after="0"/>
              <w:jc w:val="center"/>
              <w:rPr>
                <w:rFonts w:eastAsia="Times New Roman" w:cs="Calibri"/>
                <w:b/>
                <w:bCs/>
                <w:color w:val="FFFFFF"/>
                <w:sz w:val="20"/>
                <w:szCs w:val="20"/>
              </w:rPr>
            </w:pPr>
            <w:r w:rsidRPr="008B43F6">
              <w:rPr>
                <w:rFonts w:eastAsia="Times New Roman" w:cs="Calibri"/>
                <w:b/>
                <w:bCs/>
                <w:color w:val="FFFFFF"/>
                <w:sz w:val="20"/>
                <w:szCs w:val="20"/>
              </w:rPr>
              <w:t>hogares</w:t>
            </w:r>
          </w:p>
        </w:tc>
        <w:tc>
          <w:tcPr>
            <w:tcW w:w="951" w:type="dxa"/>
            <w:tcBorders>
              <w:top w:val="nil"/>
              <w:left w:val="nil"/>
              <w:bottom w:val="single" w:sz="4" w:space="0" w:color="808080" w:themeColor="background1" w:themeShade="80"/>
              <w:right w:val="single" w:sz="4" w:space="0" w:color="808080"/>
            </w:tcBorders>
            <w:shd w:val="clear" w:color="000000" w:fill="548DD4"/>
            <w:vAlign w:val="center"/>
            <w:hideMark/>
          </w:tcPr>
          <w:p w:rsidR="002C0CCF" w:rsidRPr="008B43F6" w:rsidRDefault="002C0CCF" w:rsidP="00C92E54">
            <w:pPr>
              <w:spacing w:after="0"/>
              <w:jc w:val="center"/>
              <w:rPr>
                <w:rFonts w:eastAsia="Times New Roman" w:cs="Calibri"/>
                <w:b/>
                <w:bCs/>
                <w:color w:val="FFFFFF"/>
                <w:sz w:val="20"/>
                <w:szCs w:val="20"/>
              </w:rPr>
            </w:pPr>
            <w:r w:rsidRPr="008B43F6">
              <w:rPr>
                <w:rFonts w:eastAsia="Times New Roman" w:cs="Calibri"/>
                <w:b/>
                <w:bCs/>
                <w:color w:val="FFFFFF"/>
                <w:sz w:val="20"/>
                <w:szCs w:val="20"/>
              </w:rPr>
              <w:t>La sociedad</w:t>
            </w:r>
          </w:p>
        </w:tc>
        <w:tc>
          <w:tcPr>
            <w:tcW w:w="1160" w:type="dxa"/>
            <w:tcBorders>
              <w:top w:val="nil"/>
              <w:left w:val="nil"/>
              <w:bottom w:val="single" w:sz="4" w:space="0" w:color="808080" w:themeColor="background1" w:themeShade="80"/>
              <w:right w:val="single" w:sz="4" w:space="0" w:color="808080"/>
            </w:tcBorders>
            <w:shd w:val="clear" w:color="000000" w:fill="548DD4"/>
            <w:vAlign w:val="center"/>
            <w:hideMark/>
          </w:tcPr>
          <w:p w:rsidR="002C0CCF" w:rsidRPr="008B43F6" w:rsidRDefault="002C0CCF" w:rsidP="00C92E54">
            <w:pPr>
              <w:spacing w:after="0"/>
              <w:jc w:val="center"/>
              <w:rPr>
                <w:rFonts w:eastAsia="Times New Roman" w:cs="Calibri"/>
                <w:b/>
                <w:bCs/>
                <w:color w:val="FFFFFF"/>
                <w:sz w:val="20"/>
                <w:szCs w:val="20"/>
              </w:rPr>
            </w:pPr>
            <w:r w:rsidRPr="008B43F6">
              <w:rPr>
                <w:rFonts w:eastAsia="Times New Roman" w:cs="Calibri"/>
                <w:b/>
                <w:bCs/>
                <w:color w:val="FFFFFF"/>
                <w:sz w:val="20"/>
                <w:szCs w:val="20"/>
              </w:rPr>
              <w:t>El gobierno</w:t>
            </w:r>
          </w:p>
        </w:tc>
        <w:tc>
          <w:tcPr>
            <w:tcW w:w="1054" w:type="dxa"/>
            <w:tcBorders>
              <w:top w:val="nil"/>
              <w:left w:val="nil"/>
              <w:bottom w:val="single" w:sz="4" w:space="0" w:color="808080" w:themeColor="background1" w:themeShade="80"/>
              <w:right w:val="single" w:sz="8" w:space="0" w:color="808080"/>
            </w:tcBorders>
            <w:shd w:val="clear" w:color="000000" w:fill="548DD4"/>
            <w:vAlign w:val="center"/>
            <w:hideMark/>
          </w:tcPr>
          <w:p w:rsidR="002C0CCF" w:rsidRPr="008B43F6" w:rsidRDefault="002C0CCF" w:rsidP="00C92E54">
            <w:pPr>
              <w:spacing w:after="0"/>
              <w:jc w:val="both"/>
              <w:rPr>
                <w:rFonts w:eastAsia="Times New Roman" w:cs="Calibri"/>
                <w:b/>
                <w:bCs/>
                <w:color w:val="FFFFFF"/>
                <w:sz w:val="20"/>
                <w:szCs w:val="20"/>
              </w:rPr>
            </w:pPr>
            <w:r w:rsidRPr="008B43F6">
              <w:rPr>
                <w:rFonts w:eastAsia="Times New Roman" w:cs="Calibri"/>
                <w:b/>
                <w:bCs/>
                <w:color w:val="FFFFFF"/>
                <w:sz w:val="20"/>
                <w:szCs w:val="20"/>
              </w:rPr>
              <w:t>Compañía energética</w:t>
            </w:r>
          </w:p>
        </w:tc>
      </w:tr>
      <w:tr w:rsidR="002C0CCF" w:rsidRPr="008B43F6" w:rsidTr="00F14047">
        <w:trPr>
          <w:trHeight w:val="315"/>
        </w:trPr>
        <w:tc>
          <w:tcPr>
            <w:tcW w:w="1268"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rsidR="002C0CCF" w:rsidRPr="008B43F6" w:rsidRDefault="002C0CCF" w:rsidP="00C92E54">
            <w:pPr>
              <w:spacing w:after="0"/>
              <w:jc w:val="center"/>
              <w:rPr>
                <w:rFonts w:eastAsia="Times New Roman" w:cs="Calibri"/>
                <w:b/>
                <w:color w:val="000000"/>
                <w:sz w:val="20"/>
                <w:szCs w:val="20"/>
              </w:rPr>
            </w:pPr>
            <w:r w:rsidRPr="008B43F6">
              <w:rPr>
                <w:rFonts w:eastAsia="Times New Roman" w:cs="Calibri"/>
                <w:b/>
                <w:color w:val="000000"/>
                <w:sz w:val="20"/>
                <w:szCs w:val="20"/>
              </w:rPr>
              <w:t xml:space="preserve">Co-beneficios </w:t>
            </w:r>
            <w:r w:rsidRPr="008B43F6">
              <w:rPr>
                <w:rFonts w:eastAsia="Times New Roman" w:cstheme="minorHAnsi"/>
                <w:b/>
                <w:color w:val="000000"/>
                <w:sz w:val="20"/>
                <w:szCs w:val="20"/>
              </w:rPr>
              <w:t>sociales y políticos</w:t>
            </w:r>
          </w:p>
        </w:tc>
        <w:tc>
          <w:tcPr>
            <w:tcW w:w="30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bottom"/>
          </w:tcPr>
          <w:p w:rsidR="002C0CCF" w:rsidRPr="008B43F6" w:rsidRDefault="002C0CCF" w:rsidP="00C92E54">
            <w:pPr>
              <w:spacing w:after="0"/>
              <w:rPr>
                <w:rFonts w:eastAsia="Times New Roman" w:cs="Calibri"/>
                <w:color w:val="000000"/>
                <w:sz w:val="20"/>
                <w:szCs w:val="20"/>
              </w:rPr>
            </w:pPr>
            <w:r w:rsidRPr="008B43F6">
              <w:rPr>
                <w:rFonts w:eastAsia="Times New Roman" w:cs="Calibri"/>
                <w:color w:val="000000"/>
                <w:sz w:val="20"/>
                <w:szCs w:val="20"/>
              </w:rPr>
              <w:t>Aumento en el confort [4, 9].</w:t>
            </w:r>
          </w:p>
        </w:tc>
        <w:tc>
          <w:tcPr>
            <w:tcW w:w="16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bottom"/>
          </w:tcPr>
          <w:p w:rsidR="002C0CCF" w:rsidRPr="008B43F6" w:rsidRDefault="002C0CCF" w:rsidP="00C92E54">
            <w:pPr>
              <w:spacing w:after="0"/>
              <w:jc w:val="center"/>
              <w:rPr>
                <w:rFonts w:eastAsia="Times New Roman" w:cs="Calibri"/>
                <w:color w:val="000000"/>
                <w:sz w:val="20"/>
                <w:szCs w:val="20"/>
              </w:rPr>
            </w:pPr>
            <w:r w:rsidRPr="008B43F6">
              <w:rPr>
                <w:rFonts w:eastAsia="Times New Roman" w:cs="Calibri"/>
                <w:color w:val="000000"/>
                <w:sz w:val="20"/>
                <w:szCs w:val="20"/>
              </w:rPr>
              <w:sym w:font="Symbol" w:char="F0B7"/>
            </w:r>
          </w:p>
        </w:tc>
        <w:tc>
          <w:tcPr>
            <w:tcW w:w="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bottom"/>
          </w:tcPr>
          <w:p w:rsidR="002C0CCF" w:rsidRPr="008B43F6" w:rsidRDefault="002C0CCF" w:rsidP="00C92E54">
            <w:pPr>
              <w:spacing w:after="0"/>
              <w:jc w:val="center"/>
              <w:rPr>
                <w:rFonts w:eastAsia="Times New Roman" w:cs="Calibri"/>
                <w:color w:val="000000"/>
                <w:sz w:val="20"/>
                <w:szCs w:val="20"/>
              </w:rPr>
            </w:pPr>
          </w:p>
        </w:tc>
        <w:tc>
          <w:tcPr>
            <w:tcW w:w="1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bottom"/>
          </w:tcPr>
          <w:p w:rsidR="002C0CCF" w:rsidRPr="008B43F6" w:rsidRDefault="002C0CCF" w:rsidP="00C92E54">
            <w:pPr>
              <w:spacing w:after="0"/>
              <w:jc w:val="center"/>
              <w:rPr>
                <w:rFonts w:eastAsia="Times New Roman" w:cs="Calibri"/>
                <w:color w:val="000000"/>
                <w:sz w:val="20"/>
                <w:szCs w:val="20"/>
              </w:rPr>
            </w:pPr>
          </w:p>
        </w:tc>
        <w:tc>
          <w:tcPr>
            <w:tcW w:w="10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bottom"/>
          </w:tcPr>
          <w:p w:rsidR="002C0CCF" w:rsidRPr="008B43F6" w:rsidRDefault="002C0CCF" w:rsidP="00C92E54">
            <w:pPr>
              <w:spacing w:after="0"/>
              <w:jc w:val="center"/>
              <w:rPr>
                <w:rFonts w:eastAsia="Times New Roman" w:cs="Calibri"/>
                <w:color w:val="000000"/>
                <w:sz w:val="20"/>
                <w:szCs w:val="20"/>
              </w:rPr>
            </w:pPr>
          </w:p>
        </w:tc>
      </w:tr>
      <w:tr w:rsidR="002C0CCF" w:rsidRPr="008B43F6" w:rsidTr="00F14047">
        <w:trPr>
          <w:trHeight w:val="315"/>
        </w:trPr>
        <w:tc>
          <w:tcPr>
            <w:tcW w:w="1268" w:type="dxa"/>
            <w:vMerge/>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2C0CCF" w:rsidRPr="008B43F6" w:rsidRDefault="002C0CCF" w:rsidP="00C92E54">
            <w:pPr>
              <w:spacing w:after="0"/>
              <w:rPr>
                <w:rFonts w:eastAsia="Times New Roman" w:cs="Calibri"/>
                <w:color w:val="000000"/>
                <w:sz w:val="20"/>
                <w:szCs w:val="20"/>
              </w:rPr>
            </w:pPr>
          </w:p>
        </w:tc>
        <w:tc>
          <w:tcPr>
            <w:tcW w:w="30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bottom"/>
          </w:tcPr>
          <w:p w:rsidR="002C0CCF" w:rsidRPr="008B43F6" w:rsidRDefault="002C0CCF" w:rsidP="00C92E54">
            <w:pPr>
              <w:spacing w:after="0"/>
              <w:rPr>
                <w:rFonts w:eastAsia="Times New Roman" w:cs="Calibri"/>
                <w:color w:val="000000"/>
                <w:sz w:val="20"/>
                <w:szCs w:val="20"/>
              </w:rPr>
            </w:pPr>
            <w:r w:rsidRPr="008B43F6">
              <w:rPr>
                <w:rFonts w:eastAsia="Times New Roman" w:cs="Calibri"/>
                <w:color w:val="000000"/>
                <w:sz w:val="20"/>
                <w:szCs w:val="20"/>
              </w:rPr>
              <w:t>Beneficios para los grupos socialmente vulnerables (ejemplo, igualdad de género) [2].</w:t>
            </w:r>
          </w:p>
        </w:tc>
        <w:tc>
          <w:tcPr>
            <w:tcW w:w="16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bottom"/>
          </w:tcPr>
          <w:p w:rsidR="002C0CCF" w:rsidRPr="008B43F6" w:rsidRDefault="002C0CCF" w:rsidP="00C92E54">
            <w:pPr>
              <w:spacing w:after="0"/>
              <w:jc w:val="center"/>
              <w:rPr>
                <w:rFonts w:eastAsia="Times New Roman" w:cs="Calibri"/>
                <w:color w:val="000000"/>
                <w:sz w:val="20"/>
                <w:szCs w:val="20"/>
              </w:rPr>
            </w:pPr>
          </w:p>
        </w:tc>
        <w:tc>
          <w:tcPr>
            <w:tcW w:w="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bottom"/>
          </w:tcPr>
          <w:p w:rsidR="002C0CCF" w:rsidRPr="008B43F6" w:rsidRDefault="002C0CCF" w:rsidP="00C92E54">
            <w:pPr>
              <w:spacing w:after="0"/>
              <w:jc w:val="center"/>
              <w:rPr>
                <w:rFonts w:eastAsia="Times New Roman" w:cs="Calibri"/>
                <w:color w:val="000000"/>
                <w:sz w:val="20"/>
                <w:szCs w:val="20"/>
              </w:rPr>
            </w:pPr>
            <w:r w:rsidRPr="008B43F6">
              <w:rPr>
                <w:rFonts w:eastAsia="Times New Roman" w:cs="Calibri"/>
                <w:color w:val="000000"/>
                <w:sz w:val="20"/>
                <w:szCs w:val="20"/>
              </w:rPr>
              <w:sym w:font="Symbol" w:char="F0B7"/>
            </w:r>
          </w:p>
        </w:tc>
        <w:tc>
          <w:tcPr>
            <w:tcW w:w="1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bottom"/>
          </w:tcPr>
          <w:p w:rsidR="002C0CCF" w:rsidRPr="008B43F6" w:rsidRDefault="002C0CCF" w:rsidP="00C92E54">
            <w:pPr>
              <w:spacing w:after="0"/>
              <w:jc w:val="center"/>
              <w:rPr>
                <w:rFonts w:eastAsia="Times New Roman" w:cs="Calibri"/>
                <w:color w:val="000000"/>
                <w:sz w:val="20"/>
                <w:szCs w:val="20"/>
              </w:rPr>
            </w:pPr>
          </w:p>
        </w:tc>
        <w:tc>
          <w:tcPr>
            <w:tcW w:w="10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bottom"/>
          </w:tcPr>
          <w:p w:rsidR="002C0CCF" w:rsidRPr="008B43F6" w:rsidRDefault="002C0CCF" w:rsidP="00C92E54">
            <w:pPr>
              <w:spacing w:after="0"/>
              <w:jc w:val="center"/>
              <w:rPr>
                <w:rFonts w:eastAsia="Times New Roman" w:cs="Calibri"/>
                <w:color w:val="000000"/>
                <w:sz w:val="20"/>
                <w:szCs w:val="20"/>
              </w:rPr>
            </w:pPr>
          </w:p>
        </w:tc>
      </w:tr>
      <w:tr w:rsidR="002C0CCF" w:rsidRPr="008B43F6" w:rsidTr="00F14047">
        <w:trPr>
          <w:trHeight w:val="315"/>
        </w:trPr>
        <w:tc>
          <w:tcPr>
            <w:tcW w:w="1268" w:type="dxa"/>
            <w:vMerge/>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2C0CCF" w:rsidRPr="008B43F6" w:rsidRDefault="002C0CCF" w:rsidP="00C92E54">
            <w:pPr>
              <w:spacing w:after="0"/>
              <w:rPr>
                <w:rFonts w:eastAsia="Times New Roman" w:cs="Calibri"/>
                <w:color w:val="000000"/>
                <w:sz w:val="20"/>
                <w:szCs w:val="20"/>
              </w:rPr>
            </w:pPr>
          </w:p>
        </w:tc>
        <w:tc>
          <w:tcPr>
            <w:tcW w:w="30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bottom"/>
          </w:tcPr>
          <w:p w:rsidR="002C0CCF" w:rsidRPr="008B43F6" w:rsidRDefault="002C0CCF" w:rsidP="00251C87">
            <w:pPr>
              <w:spacing w:after="0"/>
              <w:rPr>
                <w:rFonts w:eastAsia="Times New Roman" w:cs="Calibri"/>
                <w:color w:val="000000"/>
                <w:sz w:val="20"/>
                <w:szCs w:val="20"/>
              </w:rPr>
            </w:pPr>
            <w:r w:rsidRPr="008B43F6">
              <w:rPr>
                <w:rFonts w:eastAsia="Times New Roman" w:cs="Calibri"/>
                <w:color w:val="000000"/>
                <w:sz w:val="20"/>
                <w:szCs w:val="20"/>
              </w:rPr>
              <w:t xml:space="preserve">Creación de “comunidad” </w:t>
            </w:r>
            <w:r w:rsidRPr="008B43F6">
              <w:rPr>
                <w:rFonts w:eastAsia="Times New Roman" w:cs="Calibri"/>
                <w:color w:val="000000"/>
                <w:sz w:val="20"/>
                <w:szCs w:val="20"/>
              </w:rPr>
              <w:fldChar w:fldCharType="begin"/>
            </w:r>
            <w:r w:rsidR="00251C87">
              <w:rPr>
                <w:rFonts w:eastAsia="Times New Roman" w:cs="Calibri"/>
                <w:color w:val="000000"/>
                <w:sz w:val="20"/>
                <w:szCs w:val="20"/>
              </w:rPr>
              <w:instrText xml:space="preserve"> ADDIN EN.CITE &lt;EndNote&gt;&lt;Cite&gt;&lt;Author&gt;Wilson&lt;/Author&gt;&lt;Year&gt;2005&lt;/Year&gt;&lt;RecNum&gt;29&lt;/RecNum&gt;&lt;DisplayText&gt;[37]&lt;/DisplayText&gt;&lt;record&gt;&lt;rec-number&gt;29&lt;/rec-number&gt;&lt;foreign-keys&gt;&lt;key app="EN" db-id="w0w9edzzlxxfdgesvf359ft8wzxverspwaav"&gt;29&lt;/key&gt;&lt;/foreign-keys&gt;&lt;ref-type name="Newspaper Article"&gt;23&lt;/ref-type&gt;&lt;contributors&gt;&lt;authors&gt;&lt;author&gt;Alex Wilson &lt;/author&gt;&lt;/authors&gt;&lt;/contributors&gt;&lt;titles&gt;&lt;title&gt;Making the Case for Green Building &lt;/title&gt;&lt;secondary-title&gt;Environmental Building News&lt;/secondary-title&gt;&lt;/titles&gt;&lt;dates&gt;&lt;year&gt;2005&lt;/year&gt;&lt;pub-dates&gt;&lt;date&gt;April 1, 2005&lt;/date&gt;&lt;/pub-dates&gt;&lt;/dates&gt;&lt;work-type&gt;Feature&lt;/work-type&gt;&lt;urls&gt;&lt;/urls&gt;&lt;/record&gt;&lt;/Cite&gt;&lt;/EndNote&gt;</w:instrText>
            </w:r>
            <w:r w:rsidRPr="008B43F6">
              <w:rPr>
                <w:rFonts w:eastAsia="Times New Roman" w:cs="Calibri"/>
                <w:color w:val="000000"/>
                <w:sz w:val="20"/>
                <w:szCs w:val="20"/>
              </w:rPr>
              <w:fldChar w:fldCharType="separate"/>
            </w:r>
            <w:r w:rsidR="00251C87">
              <w:rPr>
                <w:rFonts w:eastAsia="Times New Roman" w:cs="Calibri"/>
                <w:noProof/>
                <w:color w:val="000000"/>
                <w:sz w:val="20"/>
                <w:szCs w:val="20"/>
              </w:rPr>
              <w:t>[</w:t>
            </w:r>
            <w:hyperlink w:anchor="_ENREF_37" w:tooltip="Wilson, 2005 #29" w:history="1">
              <w:r w:rsidR="00251C87">
                <w:rPr>
                  <w:rFonts w:eastAsia="Times New Roman" w:cs="Calibri"/>
                  <w:noProof/>
                  <w:color w:val="000000"/>
                  <w:sz w:val="20"/>
                  <w:szCs w:val="20"/>
                </w:rPr>
                <w:t>37</w:t>
              </w:r>
            </w:hyperlink>
            <w:r w:rsidR="00251C87">
              <w:rPr>
                <w:rFonts w:eastAsia="Times New Roman" w:cs="Calibri"/>
                <w:noProof/>
                <w:color w:val="000000"/>
                <w:sz w:val="20"/>
                <w:szCs w:val="20"/>
              </w:rPr>
              <w:t>]</w:t>
            </w:r>
            <w:r w:rsidRPr="008B43F6">
              <w:rPr>
                <w:rFonts w:eastAsia="Times New Roman" w:cs="Calibri"/>
                <w:color w:val="000000"/>
                <w:sz w:val="20"/>
                <w:szCs w:val="20"/>
              </w:rPr>
              <w:fldChar w:fldCharType="end"/>
            </w:r>
            <w:r w:rsidRPr="008B43F6">
              <w:rPr>
                <w:rFonts w:eastAsia="Times New Roman" w:cs="Calibri"/>
                <w:color w:val="000000"/>
                <w:sz w:val="20"/>
                <w:szCs w:val="20"/>
              </w:rPr>
              <w:t>.</w:t>
            </w:r>
          </w:p>
        </w:tc>
        <w:tc>
          <w:tcPr>
            <w:tcW w:w="16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bottom"/>
          </w:tcPr>
          <w:p w:rsidR="002C0CCF" w:rsidRPr="008B43F6" w:rsidRDefault="002C0CCF" w:rsidP="00C92E54">
            <w:pPr>
              <w:spacing w:after="0"/>
              <w:jc w:val="center"/>
              <w:rPr>
                <w:rFonts w:eastAsia="Times New Roman" w:cs="Calibri"/>
                <w:color w:val="000000"/>
                <w:sz w:val="20"/>
                <w:szCs w:val="20"/>
              </w:rPr>
            </w:pPr>
          </w:p>
        </w:tc>
        <w:tc>
          <w:tcPr>
            <w:tcW w:w="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bottom"/>
          </w:tcPr>
          <w:p w:rsidR="002C0CCF" w:rsidRPr="008B43F6" w:rsidRDefault="002C0CCF" w:rsidP="00C92E54">
            <w:pPr>
              <w:spacing w:after="0"/>
              <w:jc w:val="center"/>
              <w:rPr>
                <w:rFonts w:eastAsia="Times New Roman" w:cs="Calibri"/>
                <w:color w:val="000000"/>
                <w:sz w:val="20"/>
                <w:szCs w:val="20"/>
              </w:rPr>
            </w:pPr>
            <w:r w:rsidRPr="008B43F6">
              <w:rPr>
                <w:rFonts w:eastAsia="Times New Roman" w:cs="Calibri"/>
                <w:color w:val="000000"/>
                <w:sz w:val="20"/>
                <w:szCs w:val="20"/>
              </w:rPr>
              <w:sym w:font="Symbol" w:char="F0B7"/>
            </w:r>
          </w:p>
        </w:tc>
        <w:tc>
          <w:tcPr>
            <w:tcW w:w="1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bottom"/>
          </w:tcPr>
          <w:p w:rsidR="002C0CCF" w:rsidRPr="008B43F6" w:rsidRDefault="002C0CCF" w:rsidP="00C92E54">
            <w:pPr>
              <w:spacing w:after="0"/>
              <w:jc w:val="center"/>
              <w:rPr>
                <w:rFonts w:eastAsia="Times New Roman" w:cs="Calibri"/>
                <w:color w:val="000000"/>
                <w:sz w:val="20"/>
                <w:szCs w:val="20"/>
              </w:rPr>
            </w:pPr>
          </w:p>
        </w:tc>
        <w:tc>
          <w:tcPr>
            <w:tcW w:w="10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bottom"/>
          </w:tcPr>
          <w:p w:rsidR="002C0CCF" w:rsidRPr="008B43F6" w:rsidRDefault="002C0CCF" w:rsidP="00C92E54">
            <w:pPr>
              <w:spacing w:after="0"/>
              <w:jc w:val="center"/>
              <w:rPr>
                <w:rFonts w:eastAsia="Times New Roman" w:cs="Calibri"/>
                <w:color w:val="000000"/>
                <w:sz w:val="20"/>
                <w:szCs w:val="20"/>
              </w:rPr>
            </w:pPr>
          </w:p>
        </w:tc>
      </w:tr>
      <w:tr w:rsidR="002C0CCF" w:rsidRPr="008B43F6" w:rsidTr="00F14047">
        <w:trPr>
          <w:trHeight w:val="315"/>
        </w:trPr>
        <w:tc>
          <w:tcPr>
            <w:tcW w:w="1268" w:type="dxa"/>
            <w:vMerge/>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2C0CCF" w:rsidRPr="008B43F6" w:rsidRDefault="002C0CCF" w:rsidP="00C92E54">
            <w:pPr>
              <w:spacing w:after="0"/>
              <w:rPr>
                <w:rFonts w:eastAsia="Times New Roman" w:cs="Calibri"/>
                <w:color w:val="000000"/>
                <w:sz w:val="20"/>
                <w:szCs w:val="20"/>
              </w:rPr>
            </w:pPr>
          </w:p>
        </w:tc>
        <w:tc>
          <w:tcPr>
            <w:tcW w:w="30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bottom"/>
          </w:tcPr>
          <w:p w:rsidR="002C0CCF" w:rsidRPr="008B43F6" w:rsidRDefault="002C0CCF" w:rsidP="00C92E54">
            <w:pPr>
              <w:spacing w:after="0"/>
              <w:rPr>
                <w:rFonts w:eastAsia="Times New Roman" w:cs="Calibri"/>
                <w:color w:val="000000"/>
                <w:sz w:val="20"/>
                <w:szCs w:val="20"/>
              </w:rPr>
            </w:pPr>
            <w:r w:rsidRPr="008B43F6">
              <w:rPr>
                <w:rFonts w:eastAsia="Times New Roman" w:cs="Calibri"/>
                <w:color w:val="000000"/>
                <w:sz w:val="20"/>
                <w:szCs w:val="20"/>
              </w:rPr>
              <w:t>Reducción de la dependencia en la importación de energéticos [6, 9].</w:t>
            </w:r>
          </w:p>
        </w:tc>
        <w:tc>
          <w:tcPr>
            <w:tcW w:w="16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bottom"/>
          </w:tcPr>
          <w:p w:rsidR="002C0CCF" w:rsidRPr="008B43F6" w:rsidRDefault="002C0CCF" w:rsidP="00C92E54">
            <w:pPr>
              <w:spacing w:after="0"/>
              <w:jc w:val="center"/>
              <w:rPr>
                <w:rFonts w:eastAsia="Times New Roman" w:cs="Calibri"/>
                <w:color w:val="000000"/>
                <w:sz w:val="20"/>
                <w:szCs w:val="20"/>
              </w:rPr>
            </w:pPr>
          </w:p>
        </w:tc>
        <w:tc>
          <w:tcPr>
            <w:tcW w:w="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bottom"/>
          </w:tcPr>
          <w:p w:rsidR="002C0CCF" w:rsidRPr="008B43F6" w:rsidRDefault="002C0CCF" w:rsidP="00C92E54">
            <w:pPr>
              <w:spacing w:after="0"/>
              <w:jc w:val="center"/>
              <w:rPr>
                <w:rFonts w:eastAsia="Times New Roman" w:cs="Calibri"/>
                <w:color w:val="000000"/>
                <w:sz w:val="20"/>
                <w:szCs w:val="20"/>
              </w:rPr>
            </w:pPr>
            <w:r w:rsidRPr="008B43F6">
              <w:rPr>
                <w:rFonts w:eastAsia="Times New Roman" w:cs="Calibri"/>
                <w:color w:val="000000"/>
                <w:sz w:val="20"/>
                <w:szCs w:val="20"/>
              </w:rPr>
              <w:sym w:font="Symbol" w:char="F0B7"/>
            </w:r>
          </w:p>
        </w:tc>
        <w:tc>
          <w:tcPr>
            <w:tcW w:w="1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bottom"/>
          </w:tcPr>
          <w:p w:rsidR="002C0CCF" w:rsidRPr="008B43F6" w:rsidRDefault="002C0CCF" w:rsidP="00C92E54">
            <w:pPr>
              <w:spacing w:after="0"/>
              <w:jc w:val="center"/>
              <w:rPr>
                <w:rFonts w:eastAsia="Times New Roman" w:cs="Calibri"/>
                <w:color w:val="000000"/>
                <w:sz w:val="20"/>
                <w:szCs w:val="20"/>
              </w:rPr>
            </w:pPr>
          </w:p>
        </w:tc>
        <w:tc>
          <w:tcPr>
            <w:tcW w:w="10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bottom"/>
          </w:tcPr>
          <w:p w:rsidR="002C0CCF" w:rsidRPr="008B43F6" w:rsidRDefault="002C0CCF" w:rsidP="00C92E54">
            <w:pPr>
              <w:spacing w:after="0"/>
              <w:jc w:val="center"/>
              <w:rPr>
                <w:rFonts w:eastAsia="Times New Roman" w:cs="Calibri"/>
                <w:color w:val="000000"/>
                <w:sz w:val="20"/>
                <w:szCs w:val="20"/>
              </w:rPr>
            </w:pPr>
          </w:p>
        </w:tc>
      </w:tr>
      <w:tr w:rsidR="002C0CCF" w:rsidRPr="008B43F6" w:rsidTr="00F14047">
        <w:trPr>
          <w:trHeight w:val="404"/>
        </w:trPr>
        <w:tc>
          <w:tcPr>
            <w:tcW w:w="1268" w:type="dxa"/>
            <w:vMerge/>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2C0CCF" w:rsidRPr="008B43F6" w:rsidRDefault="002C0CCF" w:rsidP="00C92E54">
            <w:pPr>
              <w:spacing w:after="0"/>
              <w:rPr>
                <w:rFonts w:eastAsia="Times New Roman" w:cs="Calibri"/>
                <w:color w:val="000000"/>
                <w:sz w:val="20"/>
                <w:szCs w:val="20"/>
              </w:rPr>
            </w:pPr>
          </w:p>
        </w:tc>
        <w:tc>
          <w:tcPr>
            <w:tcW w:w="30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bottom"/>
          </w:tcPr>
          <w:p w:rsidR="002C0CCF" w:rsidRPr="008B43F6" w:rsidRDefault="002C0CCF" w:rsidP="00C92E54">
            <w:pPr>
              <w:spacing w:after="0"/>
              <w:rPr>
                <w:rFonts w:eastAsia="Times New Roman" w:cs="Calibri"/>
                <w:color w:val="000000"/>
                <w:sz w:val="20"/>
                <w:szCs w:val="20"/>
              </w:rPr>
            </w:pPr>
            <w:r w:rsidRPr="008B43F6">
              <w:rPr>
                <w:rFonts w:eastAsia="Times New Roman" w:cs="Calibri"/>
                <w:color w:val="000000"/>
                <w:sz w:val="20"/>
                <w:szCs w:val="20"/>
              </w:rPr>
              <w:t>Adaptación al cambio climático [10].</w:t>
            </w:r>
          </w:p>
        </w:tc>
        <w:tc>
          <w:tcPr>
            <w:tcW w:w="16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bottom"/>
          </w:tcPr>
          <w:p w:rsidR="002C0CCF" w:rsidRPr="008B43F6" w:rsidRDefault="002C0CCF" w:rsidP="00C92E54">
            <w:pPr>
              <w:spacing w:after="0"/>
              <w:jc w:val="center"/>
              <w:rPr>
                <w:rFonts w:eastAsia="Times New Roman" w:cs="Calibri"/>
                <w:color w:val="000000"/>
                <w:sz w:val="20"/>
                <w:szCs w:val="20"/>
              </w:rPr>
            </w:pPr>
          </w:p>
        </w:tc>
        <w:tc>
          <w:tcPr>
            <w:tcW w:w="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bottom"/>
          </w:tcPr>
          <w:p w:rsidR="002C0CCF" w:rsidRPr="008B43F6" w:rsidRDefault="002C0CCF" w:rsidP="00C92E54">
            <w:pPr>
              <w:spacing w:after="0"/>
              <w:jc w:val="center"/>
              <w:rPr>
                <w:rFonts w:eastAsia="Times New Roman" w:cs="Calibri"/>
                <w:color w:val="000000"/>
                <w:sz w:val="20"/>
                <w:szCs w:val="20"/>
              </w:rPr>
            </w:pPr>
            <w:r w:rsidRPr="008B43F6">
              <w:rPr>
                <w:rFonts w:eastAsia="Times New Roman" w:cs="Calibri"/>
                <w:color w:val="000000"/>
                <w:sz w:val="20"/>
                <w:szCs w:val="20"/>
              </w:rPr>
              <w:sym w:font="Symbol" w:char="F0B7"/>
            </w:r>
          </w:p>
        </w:tc>
        <w:tc>
          <w:tcPr>
            <w:tcW w:w="1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bottom"/>
          </w:tcPr>
          <w:p w:rsidR="002C0CCF" w:rsidRPr="008B43F6" w:rsidRDefault="002C0CCF" w:rsidP="00C92E54">
            <w:pPr>
              <w:spacing w:after="0"/>
              <w:jc w:val="center"/>
              <w:rPr>
                <w:rFonts w:eastAsia="Times New Roman" w:cs="Calibri"/>
                <w:color w:val="000000"/>
                <w:sz w:val="20"/>
                <w:szCs w:val="20"/>
              </w:rPr>
            </w:pPr>
          </w:p>
        </w:tc>
        <w:tc>
          <w:tcPr>
            <w:tcW w:w="10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bottom"/>
          </w:tcPr>
          <w:p w:rsidR="002C0CCF" w:rsidRPr="008B43F6" w:rsidRDefault="002C0CCF" w:rsidP="00C92E54">
            <w:pPr>
              <w:spacing w:after="0"/>
              <w:jc w:val="center"/>
              <w:rPr>
                <w:rFonts w:eastAsia="Times New Roman" w:cs="Calibri"/>
                <w:color w:val="000000"/>
                <w:sz w:val="20"/>
                <w:szCs w:val="20"/>
              </w:rPr>
            </w:pPr>
          </w:p>
        </w:tc>
      </w:tr>
      <w:tr w:rsidR="002C0CCF" w:rsidRPr="008B43F6" w:rsidTr="00F14047">
        <w:trPr>
          <w:trHeight w:val="635"/>
        </w:trPr>
        <w:tc>
          <w:tcPr>
            <w:tcW w:w="1268" w:type="dxa"/>
            <w:vMerge/>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2C0CCF" w:rsidRPr="008B43F6" w:rsidRDefault="002C0CCF" w:rsidP="00C92E54">
            <w:pPr>
              <w:spacing w:after="0"/>
              <w:rPr>
                <w:rFonts w:eastAsia="Times New Roman" w:cs="Calibri"/>
                <w:color w:val="000000"/>
                <w:sz w:val="20"/>
                <w:szCs w:val="20"/>
              </w:rPr>
            </w:pPr>
          </w:p>
        </w:tc>
        <w:tc>
          <w:tcPr>
            <w:tcW w:w="30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bottom"/>
          </w:tcPr>
          <w:p w:rsidR="002C0CCF" w:rsidRPr="008B43F6" w:rsidRDefault="002C0CCF" w:rsidP="00C92E54">
            <w:pPr>
              <w:spacing w:after="0"/>
              <w:rPr>
                <w:rFonts w:eastAsia="Times New Roman" w:cs="Calibri"/>
                <w:color w:val="000000"/>
                <w:sz w:val="20"/>
                <w:szCs w:val="20"/>
              </w:rPr>
            </w:pPr>
            <w:r w:rsidRPr="008B43F6">
              <w:rPr>
                <w:rFonts w:eastAsia="Times New Roman" w:cs="Calibri"/>
                <w:color w:val="000000"/>
                <w:sz w:val="20"/>
                <w:szCs w:val="20"/>
              </w:rPr>
              <w:t>Protección a las viviendas de la posibilidad de sufrir cortes de energía [6, 9].</w:t>
            </w:r>
          </w:p>
        </w:tc>
        <w:tc>
          <w:tcPr>
            <w:tcW w:w="16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bottom"/>
          </w:tcPr>
          <w:p w:rsidR="002C0CCF" w:rsidRPr="008B43F6" w:rsidRDefault="002C0CCF" w:rsidP="00C92E54">
            <w:pPr>
              <w:spacing w:after="0"/>
              <w:jc w:val="center"/>
              <w:rPr>
                <w:rFonts w:eastAsia="Times New Roman" w:cs="Calibri"/>
                <w:color w:val="000000"/>
                <w:sz w:val="20"/>
                <w:szCs w:val="20"/>
              </w:rPr>
            </w:pPr>
          </w:p>
        </w:tc>
        <w:tc>
          <w:tcPr>
            <w:tcW w:w="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bottom"/>
          </w:tcPr>
          <w:p w:rsidR="002C0CCF" w:rsidRPr="008B43F6" w:rsidRDefault="002C0CCF" w:rsidP="00C92E54">
            <w:pPr>
              <w:spacing w:after="0"/>
              <w:jc w:val="center"/>
              <w:rPr>
                <w:rFonts w:eastAsia="Times New Roman" w:cs="Calibri"/>
                <w:color w:val="000000"/>
                <w:sz w:val="20"/>
                <w:szCs w:val="20"/>
              </w:rPr>
            </w:pPr>
          </w:p>
        </w:tc>
        <w:tc>
          <w:tcPr>
            <w:tcW w:w="1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bottom"/>
          </w:tcPr>
          <w:p w:rsidR="002C0CCF" w:rsidRPr="008B43F6" w:rsidRDefault="002C0CCF" w:rsidP="00C92E54">
            <w:pPr>
              <w:spacing w:after="0"/>
              <w:jc w:val="center"/>
              <w:rPr>
                <w:rFonts w:eastAsia="Times New Roman" w:cs="Calibri"/>
                <w:color w:val="000000"/>
                <w:sz w:val="20"/>
                <w:szCs w:val="20"/>
              </w:rPr>
            </w:pPr>
          </w:p>
        </w:tc>
        <w:tc>
          <w:tcPr>
            <w:tcW w:w="10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bottom"/>
          </w:tcPr>
          <w:p w:rsidR="002C0CCF" w:rsidRPr="008B43F6" w:rsidRDefault="002C0CCF" w:rsidP="00C92E54">
            <w:pPr>
              <w:spacing w:after="0"/>
              <w:jc w:val="center"/>
              <w:rPr>
                <w:rFonts w:eastAsia="Times New Roman" w:cs="Calibri"/>
                <w:color w:val="000000"/>
                <w:sz w:val="20"/>
                <w:szCs w:val="20"/>
              </w:rPr>
            </w:pPr>
            <w:r w:rsidRPr="008B43F6">
              <w:rPr>
                <w:rFonts w:eastAsia="Times New Roman" w:cs="Calibri"/>
                <w:color w:val="000000"/>
                <w:sz w:val="20"/>
                <w:szCs w:val="20"/>
              </w:rPr>
              <w:sym w:font="Symbol" w:char="F0B7"/>
            </w:r>
          </w:p>
        </w:tc>
      </w:tr>
      <w:tr w:rsidR="002C0CCF" w:rsidRPr="008B43F6" w:rsidTr="00F14047">
        <w:trPr>
          <w:trHeight w:val="315"/>
        </w:trPr>
        <w:tc>
          <w:tcPr>
            <w:tcW w:w="1268" w:type="dxa"/>
            <w:vMerge/>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2C0CCF" w:rsidRPr="008B43F6" w:rsidRDefault="002C0CCF" w:rsidP="00C92E54">
            <w:pPr>
              <w:spacing w:after="0"/>
              <w:rPr>
                <w:rFonts w:eastAsia="Times New Roman" w:cs="Calibri"/>
                <w:color w:val="000000"/>
                <w:sz w:val="20"/>
                <w:szCs w:val="20"/>
              </w:rPr>
            </w:pPr>
          </w:p>
        </w:tc>
        <w:tc>
          <w:tcPr>
            <w:tcW w:w="30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bottom"/>
          </w:tcPr>
          <w:p w:rsidR="002C0CCF" w:rsidRPr="008B43F6" w:rsidRDefault="002C0CCF" w:rsidP="00C92E54">
            <w:pPr>
              <w:spacing w:after="0"/>
              <w:rPr>
                <w:rFonts w:eastAsia="Times New Roman" w:cs="Calibri"/>
                <w:color w:val="000000"/>
                <w:sz w:val="20"/>
                <w:szCs w:val="20"/>
              </w:rPr>
            </w:pPr>
            <w:r w:rsidRPr="008B43F6">
              <w:rPr>
                <w:rFonts w:eastAsia="Times New Roman" w:cs="Calibri"/>
                <w:color w:val="000000"/>
                <w:sz w:val="20"/>
                <w:szCs w:val="20"/>
              </w:rPr>
              <w:t>Prolongación de la vida de las redes de distribución de energía eléctrica [9].</w:t>
            </w:r>
          </w:p>
        </w:tc>
        <w:tc>
          <w:tcPr>
            <w:tcW w:w="16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bottom"/>
          </w:tcPr>
          <w:p w:rsidR="002C0CCF" w:rsidRPr="008B43F6" w:rsidRDefault="002C0CCF" w:rsidP="00C92E54">
            <w:pPr>
              <w:spacing w:after="0"/>
              <w:jc w:val="center"/>
              <w:rPr>
                <w:rFonts w:eastAsia="Times New Roman" w:cs="Calibri"/>
                <w:color w:val="000000"/>
                <w:sz w:val="20"/>
                <w:szCs w:val="20"/>
              </w:rPr>
            </w:pPr>
          </w:p>
        </w:tc>
        <w:tc>
          <w:tcPr>
            <w:tcW w:w="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bottom"/>
          </w:tcPr>
          <w:p w:rsidR="002C0CCF" w:rsidRPr="008B43F6" w:rsidRDefault="002C0CCF" w:rsidP="00C92E54">
            <w:pPr>
              <w:spacing w:after="0"/>
              <w:jc w:val="center"/>
              <w:rPr>
                <w:rFonts w:eastAsia="Times New Roman" w:cs="Calibri"/>
                <w:color w:val="000000"/>
                <w:sz w:val="20"/>
                <w:szCs w:val="20"/>
              </w:rPr>
            </w:pPr>
          </w:p>
        </w:tc>
        <w:tc>
          <w:tcPr>
            <w:tcW w:w="1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bottom"/>
          </w:tcPr>
          <w:p w:rsidR="002C0CCF" w:rsidRPr="008B43F6" w:rsidRDefault="002C0CCF" w:rsidP="00C92E54">
            <w:pPr>
              <w:spacing w:after="0"/>
              <w:jc w:val="center"/>
              <w:rPr>
                <w:rFonts w:eastAsia="Times New Roman" w:cs="Calibri"/>
                <w:color w:val="000000"/>
                <w:sz w:val="20"/>
                <w:szCs w:val="20"/>
              </w:rPr>
            </w:pPr>
          </w:p>
        </w:tc>
        <w:tc>
          <w:tcPr>
            <w:tcW w:w="10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bottom"/>
          </w:tcPr>
          <w:p w:rsidR="002C0CCF" w:rsidRPr="008B43F6" w:rsidRDefault="002C0CCF" w:rsidP="00C92E54">
            <w:pPr>
              <w:spacing w:after="0"/>
              <w:jc w:val="center"/>
              <w:rPr>
                <w:rFonts w:eastAsia="Times New Roman" w:cs="Calibri"/>
                <w:color w:val="000000"/>
                <w:sz w:val="20"/>
                <w:szCs w:val="20"/>
              </w:rPr>
            </w:pPr>
            <w:r w:rsidRPr="008B43F6">
              <w:rPr>
                <w:rFonts w:eastAsia="Times New Roman" w:cs="Calibri"/>
                <w:color w:val="000000"/>
                <w:sz w:val="20"/>
                <w:szCs w:val="20"/>
              </w:rPr>
              <w:sym w:font="Symbol" w:char="F0B7"/>
            </w:r>
          </w:p>
        </w:tc>
      </w:tr>
      <w:tr w:rsidR="002C0CCF" w:rsidRPr="008B43F6" w:rsidTr="00F14047">
        <w:trPr>
          <w:trHeight w:val="315"/>
        </w:trPr>
        <w:tc>
          <w:tcPr>
            <w:tcW w:w="1268" w:type="dxa"/>
            <w:vMerge/>
            <w:tcBorders>
              <w:left w:val="single" w:sz="4" w:space="0" w:color="808080" w:themeColor="background1" w:themeShade="80"/>
              <w:right w:val="single" w:sz="4" w:space="0" w:color="808080" w:themeColor="background1" w:themeShade="80"/>
            </w:tcBorders>
            <w:shd w:val="clear" w:color="auto" w:fill="FFFFFF" w:themeFill="background1"/>
            <w:vAlign w:val="center"/>
          </w:tcPr>
          <w:p w:rsidR="002C0CCF" w:rsidRPr="008B43F6" w:rsidRDefault="002C0CCF" w:rsidP="00C92E54">
            <w:pPr>
              <w:spacing w:after="0"/>
              <w:rPr>
                <w:rFonts w:eastAsia="Times New Roman" w:cs="Calibri"/>
                <w:color w:val="000000"/>
                <w:sz w:val="20"/>
                <w:szCs w:val="20"/>
              </w:rPr>
            </w:pPr>
          </w:p>
        </w:tc>
        <w:tc>
          <w:tcPr>
            <w:tcW w:w="30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bottom"/>
          </w:tcPr>
          <w:p w:rsidR="002C0CCF" w:rsidRPr="008B43F6" w:rsidRDefault="002C0CCF" w:rsidP="00C92E54">
            <w:pPr>
              <w:spacing w:after="0"/>
              <w:rPr>
                <w:rFonts w:eastAsia="Times New Roman" w:cs="Calibri"/>
                <w:color w:val="000000"/>
                <w:sz w:val="20"/>
                <w:szCs w:val="20"/>
              </w:rPr>
            </w:pPr>
            <w:r w:rsidRPr="008B43F6">
              <w:rPr>
                <w:rFonts w:eastAsia="Times New Roman" w:cs="Calibri"/>
                <w:color w:val="000000"/>
                <w:sz w:val="20"/>
                <w:szCs w:val="20"/>
              </w:rPr>
              <w:t>Aumento en la popularidad política [2].</w:t>
            </w:r>
          </w:p>
        </w:tc>
        <w:tc>
          <w:tcPr>
            <w:tcW w:w="16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bottom"/>
          </w:tcPr>
          <w:p w:rsidR="002C0CCF" w:rsidRPr="008B43F6" w:rsidRDefault="002C0CCF" w:rsidP="00C92E54">
            <w:pPr>
              <w:spacing w:after="0"/>
              <w:jc w:val="center"/>
              <w:rPr>
                <w:rFonts w:eastAsia="Times New Roman" w:cs="Calibri"/>
                <w:color w:val="000000"/>
                <w:sz w:val="20"/>
                <w:szCs w:val="20"/>
              </w:rPr>
            </w:pPr>
          </w:p>
        </w:tc>
        <w:tc>
          <w:tcPr>
            <w:tcW w:w="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bottom"/>
          </w:tcPr>
          <w:p w:rsidR="002C0CCF" w:rsidRPr="008B43F6" w:rsidRDefault="002C0CCF" w:rsidP="00C92E54">
            <w:pPr>
              <w:spacing w:after="0"/>
              <w:jc w:val="center"/>
              <w:rPr>
                <w:rFonts w:eastAsia="Times New Roman" w:cs="Calibri"/>
                <w:color w:val="000000"/>
                <w:sz w:val="20"/>
                <w:szCs w:val="20"/>
              </w:rPr>
            </w:pPr>
          </w:p>
        </w:tc>
        <w:tc>
          <w:tcPr>
            <w:tcW w:w="1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bottom"/>
          </w:tcPr>
          <w:p w:rsidR="002C0CCF" w:rsidRPr="008B43F6" w:rsidRDefault="002C0CCF" w:rsidP="00C92E54">
            <w:pPr>
              <w:spacing w:after="0"/>
              <w:jc w:val="center"/>
              <w:rPr>
                <w:rFonts w:eastAsia="Times New Roman" w:cs="Calibri"/>
                <w:color w:val="000000"/>
                <w:sz w:val="20"/>
                <w:szCs w:val="20"/>
              </w:rPr>
            </w:pPr>
            <w:r w:rsidRPr="008B43F6">
              <w:rPr>
                <w:rFonts w:eastAsia="Times New Roman" w:cs="Calibri"/>
                <w:color w:val="000000"/>
                <w:sz w:val="20"/>
                <w:szCs w:val="20"/>
              </w:rPr>
              <w:sym w:font="Symbol" w:char="F0B7"/>
            </w:r>
          </w:p>
        </w:tc>
        <w:tc>
          <w:tcPr>
            <w:tcW w:w="10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bottom"/>
          </w:tcPr>
          <w:p w:rsidR="002C0CCF" w:rsidRPr="008B43F6" w:rsidRDefault="002C0CCF" w:rsidP="00C92E54">
            <w:pPr>
              <w:spacing w:after="0"/>
              <w:jc w:val="center"/>
              <w:rPr>
                <w:rFonts w:eastAsia="Times New Roman" w:cs="Calibri"/>
                <w:color w:val="000000"/>
                <w:sz w:val="20"/>
                <w:szCs w:val="20"/>
              </w:rPr>
            </w:pPr>
          </w:p>
        </w:tc>
      </w:tr>
      <w:tr w:rsidR="002C0CCF" w:rsidRPr="008B43F6" w:rsidTr="00F14047">
        <w:trPr>
          <w:trHeight w:val="315"/>
        </w:trPr>
        <w:tc>
          <w:tcPr>
            <w:tcW w:w="1268"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2C0CCF" w:rsidRPr="008B43F6" w:rsidRDefault="002C0CCF" w:rsidP="00C92E54">
            <w:pPr>
              <w:spacing w:after="0"/>
              <w:rPr>
                <w:rFonts w:eastAsia="Times New Roman" w:cs="Calibri"/>
                <w:color w:val="000000"/>
                <w:sz w:val="20"/>
                <w:szCs w:val="20"/>
              </w:rPr>
            </w:pPr>
          </w:p>
        </w:tc>
        <w:tc>
          <w:tcPr>
            <w:tcW w:w="30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bottom"/>
          </w:tcPr>
          <w:p w:rsidR="002C0CCF" w:rsidRPr="008B43F6" w:rsidRDefault="002C0CCF" w:rsidP="00C92E54">
            <w:pPr>
              <w:spacing w:after="0"/>
              <w:rPr>
                <w:rFonts w:eastAsia="Times New Roman" w:cs="Calibri"/>
                <w:color w:val="000000"/>
                <w:sz w:val="20"/>
                <w:szCs w:val="20"/>
              </w:rPr>
            </w:pPr>
            <w:r w:rsidRPr="008B43F6">
              <w:rPr>
                <w:rFonts w:eastAsia="Times New Roman" w:cs="Calibri"/>
                <w:color w:val="000000"/>
                <w:sz w:val="20"/>
                <w:szCs w:val="20"/>
              </w:rPr>
              <w:t xml:space="preserve">Cumplimiento de la normatividad internacional </w:t>
            </w:r>
          </w:p>
        </w:tc>
        <w:tc>
          <w:tcPr>
            <w:tcW w:w="16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bottom"/>
          </w:tcPr>
          <w:p w:rsidR="002C0CCF" w:rsidRPr="008B43F6" w:rsidRDefault="002C0CCF" w:rsidP="00C92E54">
            <w:pPr>
              <w:spacing w:after="0"/>
              <w:jc w:val="center"/>
              <w:rPr>
                <w:rFonts w:eastAsia="Times New Roman" w:cs="Calibri"/>
                <w:color w:val="000000"/>
                <w:sz w:val="20"/>
                <w:szCs w:val="20"/>
              </w:rPr>
            </w:pPr>
          </w:p>
        </w:tc>
        <w:tc>
          <w:tcPr>
            <w:tcW w:w="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bottom"/>
          </w:tcPr>
          <w:p w:rsidR="002C0CCF" w:rsidRPr="008B43F6" w:rsidRDefault="002C0CCF" w:rsidP="00C92E54">
            <w:pPr>
              <w:spacing w:after="0"/>
              <w:jc w:val="center"/>
              <w:rPr>
                <w:rFonts w:eastAsia="Times New Roman" w:cs="Calibri"/>
                <w:color w:val="000000"/>
                <w:sz w:val="20"/>
                <w:szCs w:val="20"/>
              </w:rPr>
            </w:pPr>
          </w:p>
        </w:tc>
        <w:tc>
          <w:tcPr>
            <w:tcW w:w="1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bottom"/>
          </w:tcPr>
          <w:p w:rsidR="002C0CCF" w:rsidRPr="008B43F6" w:rsidRDefault="002C0CCF" w:rsidP="00C92E54">
            <w:pPr>
              <w:spacing w:after="0"/>
              <w:jc w:val="center"/>
              <w:rPr>
                <w:rFonts w:eastAsia="Times New Roman" w:cs="Calibri"/>
                <w:color w:val="000000"/>
                <w:sz w:val="20"/>
                <w:szCs w:val="20"/>
              </w:rPr>
            </w:pPr>
            <w:r w:rsidRPr="008B43F6">
              <w:rPr>
                <w:rFonts w:eastAsia="Times New Roman" w:cs="Calibri"/>
                <w:color w:val="000000"/>
                <w:sz w:val="20"/>
                <w:szCs w:val="20"/>
              </w:rPr>
              <w:sym w:font="Symbol" w:char="F0B7"/>
            </w:r>
          </w:p>
        </w:tc>
        <w:tc>
          <w:tcPr>
            <w:tcW w:w="10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bottom"/>
          </w:tcPr>
          <w:p w:rsidR="002C0CCF" w:rsidRPr="008B43F6" w:rsidRDefault="002C0CCF" w:rsidP="00C92E54">
            <w:pPr>
              <w:spacing w:after="0"/>
              <w:jc w:val="center"/>
              <w:rPr>
                <w:rFonts w:eastAsia="Times New Roman" w:cs="Calibri"/>
                <w:color w:val="000000"/>
                <w:sz w:val="20"/>
                <w:szCs w:val="20"/>
              </w:rPr>
            </w:pPr>
          </w:p>
        </w:tc>
      </w:tr>
      <w:tr w:rsidR="002C0CCF" w:rsidRPr="008B43F6" w:rsidTr="00F14047">
        <w:trPr>
          <w:trHeight w:val="315"/>
        </w:trPr>
        <w:tc>
          <w:tcPr>
            <w:tcW w:w="1268"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rsidR="002C0CCF" w:rsidRPr="008B43F6" w:rsidRDefault="002C0CCF" w:rsidP="00C92E54">
            <w:pPr>
              <w:spacing w:after="0"/>
              <w:rPr>
                <w:rFonts w:eastAsia="Times New Roman" w:cs="Calibri"/>
                <w:color w:val="000000"/>
                <w:sz w:val="20"/>
                <w:szCs w:val="20"/>
              </w:rPr>
            </w:pPr>
          </w:p>
        </w:tc>
        <w:tc>
          <w:tcPr>
            <w:tcW w:w="30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C0CCF" w:rsidRPr="008B43F6" w:rsidRDefault="002C0CCF" w:rsidP="00C92E54">
            <w:pPr>
              <w:spacing w:after="0"/>
              <w:jc w:val="both"/>
              <w:rPr>
                <w:rFonts w:eastAsia="Times New Roman" w:cs="Calibri"/>
                <w:color w:val="000000"/>
                <w:sz w:val="20"/>
                <w:szCs w:val="20"/>
              </w:rPr>
            </w:pPr>
            <w:r w:rsidRPr="008B43F6">
              <w:rPr>
                <w:rFonts w:eastAsia="Times New Roman" w:cs="Calibri"/>
                <w:color w:val="000000"/>
                <w:sz w:val="20"/>
                <w:szCs w:val="20"/>
              </w:rPr>
              <w:t>Reducción de la contaminación del aire interior [2, 6, 7].</w:t>
            </w:r>
          </w:p>
        </w:tc>
        <w:tc>
          <w:tcPr>
            <w:tcW w:w="16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C0CCF" w:rsidRPr="008B43F6" w:rsidRDefault="002C0CCF" w:rsidP="00C92E54">
            <w:pPr>
              <w:spacing w:after="0"/>
              <w:jc w:val="center"/>
              <w:rPr>
                <w:rFonts w:eastAsia="Times New Roman" w:cs="Calibri"/>
                <w:color w:val="000000"/>
                <w:sz w:val="20"/>
                <w:szCs w:val="20"/>
              </w:rPr>
            </w:pPr>
            <w:r w:rsidRPr="008B43F6">
              <w:rPr>
                <w:rFonts w:eastAsia="Times New Roman" w:cs="Calibri"/>
                <w:color w:val="000000"/>
                <w:sz w:val="20"/>
                <w:szCs w:val="20"/>
              </w:rPr>
              <w:sym w:font="Symbol" w:char="F0B7"/>
            </w:r>
          </w:p>
        </w:tc>
        <w:tc>
          <w:tcPr>
            <w:tcW w:w="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C0CCF" w:rsidRPr="008B43F6" w:rsidRDefault="002C0CCF" w:rsidP="00C92E54">
            <w:pPr>
              <w:spacing w:after="0"/>
              <w:jc w:val="center"/>
              <w:rPr>
                <w:rFonts w:eastAsia="Times New Roman" w:cs="Calibri"/>
                <w:color w:val="000000"/>
                <w:sz w:val="20"/>
                <w:szCs w:val="20"/>
              </w:rPr>
            </w:pPr>
          </w:p>
        </w:tc>
        <w:tc>
          <w:tcPr>
            <w:tcW w:w="1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C0CCF" w:rsidRPr="008B43F6" w:rsidRDefault="002C0CCF" w:rsidP="00C92E54">
            <w:pPr>
              <w:spacing w:after="0"/>
              <w:jc w:val="center"/>
              <w:rPr>
                <w:rFonts w:eastAsia="Times New Roman" w:cs="Calibri"/>
                <w:color w:val="000000"/>
                <w:sz w:val="20"/>
                <w:szCs w:val="20"/>
              </w:rPr>
            </w:pPr>
          </w:p>
        </w:tc>
        <w:tc>
          <w:tcPr>
            <w:tcW w:w="10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C0CCF" w:rsidRPr="008B43F6" w:rsidRDefault="002C0CCF" w:rsidP="00C92E54">
            <w:pPr>
              <w:spacing w:after="0"/>
              <w:jc w:val="center"/>
              <w:rPr>
                <w:rFonts w:eastAsia="Times New Roman" w:cs="Calibri"/>
                <w:color w:val="000000"/>
                <w:sz w:val="20"/>
                <w:szCs w:val="20"/>
              </w:rPr>
            </w:pPr>
          </w:p>
        </w:tc>
      </w:tr>
      <w:tr w:rsidR="002C0CCF" w:rsidRPr="008B43F6" w:rsidTr="00F14047">
        <w:trPr>
          <w:trHeight w:val="315"/>
        </w:trPr>
        <w:tc>
          <w:tcPr>
            <w:tcW w:w="1268" w:type="dxa"/>
            <w:vMerge w:val="restart"/>
            <w:tcBorders>
              <w:left w:val="single" w:sz="4" w:space="0" w:color="808080" w:themeColor="background1" w:themeShade="80"/>
              <w:right w:val="single" w:sz="4" w:space="0" w:color="808080" w:themeColor="background1" w:themeShade="80"/>
            </w:tcBorders>
            <w:shd w:val="clear" w:color="auto" w:fill="auto"/>
            <w:vAlign w:val="center"/>
          </w:tcPr>
          <w:p w:rsidR="002C0CCF" w:rsidRPr="008B43F6" w:rsidRDefault="002C0CCF" w:rsidP="00C92E54">
            <w:pPr>
              <w:spacing w:after="0"/>
              <w:rPr>
                <w:rFonts w:eastAsia="Times New Roman" w:cs="Calibri"/>
                <w:color w:val="000000"/>
                <w:sz w:val="20"/>
                <w:szCs w:val="20"/>
              </w:rPr>
            </w:pPr>
            <w:r w:rsidRPr="008B43F6">
              <w:rPr>
                <w:rFonts w:eastAsia="Times New Roman" w:cs="Calibri"/>
                <w:b/>
                <w:color w:val="000000"/>
                <w:sz w:val="20"/>
                <w:szCs w:val="20"/>
              </w:rPr>
              <w:t>Co-beneficios de salud</w:t>
            </w:r>
          </w:p>
        </w:tc>
        <w:tc>
          <w:tcPr>
            <w:tcW w:w="30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C0CCF" w:rsidRPr="008B43F6" w:rsidRDefault="002C0CCF" w:rsidP="00C92E54">
            <w:pPr>
              <w:spacing w:after="0"/>
              <w:jc w:val="both"/>
              <w:rPr>
                <w:rFonts w:eastAsia="Times New Roman" w:cs="Calibri"/>
                <w:color w:val="000000"/>
                <w:sz w:val="20"/>
                <w:szCs w:val="20"/>
              </w:rPr>
            </w:pPr>
            <w:r w:rsidRPr="008B43F6">
              <w:rPr>
                <w:rFonts w:eastAsia="Times New Roman" w:cs="Calibri"/>
                <w:color w:val="000000"/>
                <w:sz w:val="20"/>
                <w:szCs w:val="20"/>
              </w:rPr>
              <w:t>Reducción de la contaminación del aire exterior [2, 6].</w:t>
            </w:r>
          </w:p>
        </w:tc>
        <w:tc>
          <w:tcPr>
            <w:tcW w:w="16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C0CCF" w:rsidRPr="008B43F6" w:rsidRDefault="002C0CCF" w:rsidP="00C92E54">
            <w:pPr>
              <w:spacing w:after="0"/>
              <w:jc w:val="center"/>
              <w:rPr>
                <w:rFonts w:eastAsia="Times New Roman" w:cs="Calibri"/>
                <w:color w:val="000000"/>
                <w:sz w:val="20"/>
                <w:szCs w:val="20"/>
              </w:rPr>
            </w:pPr>
          </w:p>
        </w:tc>
        <w:tc>
          <w:tcPr>
            <w:tcW w:w="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C0CCF" w:rsidRPr="008B43F6" w:rsidRDefault="002C0CCF" w:rsidP="00C92E54">
            <w:pPr>
              <w:spacing w:after="0"/>
              <w:jc w:val="center"/>
              <w:rPr>
                <w:rFonts w:eastAsia="Times New Roman" w:cs="Calibri"/>
                <w:color w:val="000000"/>
                <w:sz w:val="20"/>
                <w:szCs w:val="20"/>
              </w:rPr>
            </w:pPr>
            <w:r w:rsidRPr="008B43F6">
              <w:rPr>
                <w:rFonts w:eastAsia="Times New Roman" w:cs="Calibri"/>
                <w:color w:val="000000"/>
                <w:sz w:val="20"/>
                <w:szCs w:val="20"/>
              </w:rPr>
              <w:sym w:font="Symbol" w:char="F0B7"/>
            </w:r>
          </w:p>
        </w:tc>
        <w:tc>
          <w:tcPr>
            <w:tcW w:w="1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C0CCF" w:rsidRPr="008B43F6" w:rsidRDefault="002C0CCF" w:rsidP="00C92E54">
            <w:pPr>
              <w:spacing w:after="0"/>
              <w:jc w:val="center"/>
              <w:rPr>
                <w:rFonts w:eastAsia="Times New Roman" w:cs="Calibri"/>
                <w:color w:val="000000"/>
                <w:sz w:val="20"/>
                <w:szCs w:val="20"/>
              </w:rPr>
            </w:pPr>
          </w:p>
        </w:tc>
        <w:tc>
          <w:tcPr>
            <w:tcW w:w="10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C0CCF" w:rsidRPr="008B43F6" w:rsidRDefault="002C0CCF" w:rsidP="00C92E54">
            <w:pPr>
              <w:spacing w:after="0"/>
              <w:jc w:val="center"/>
              <w:rPr>
                <w:rFonts w:eastAsia="Times New Roman" w:cs="Calibri"/>
                <w:color w:val="000000"/>
                <w:sz w:val="20"/>
                <w:szCs w:val="20"/>
              </w:rPr>
            </w:pPr>
          </w:p>
        </w:tc>
      </w:tr>
      <w:tr w:rsidR="002C0CCF" w:rsidRPr="008B43F6" w:rsidTr="00F14047">
        <w:trPr>
          <w:trHeight w:val="315"/>
        </w:trPr>
        <w:tc>
          <w:tcPr>
            <w:tcW w:w="1268" w:type="dxa"/>
            <w:vMerge/>
            <w:tcBorders>
              <w:left w:val="single" w:sz="4" w:space="0" w:color="808080" w:themeColor="background1" w:themeShade="80"/>
              <w:right w:val="single" w:sz="4" w:space="0" w:color="808080" w:themeColor="background1" w:themeShade="80"/>
            </w:tcBorders>
            <w:vAlign w:val="center"/>
          </w:tcPr>
          <w:p w:rsidR="002C0CCF" w:rsidRPr="008B43F6" w:rsidRDefault="002C0CCF" w:rsidP="00C92E54">
            <w:pPr>
              <w:spacing w:after="0"/>
              <w:rPr>
                <w:rFonts w:eastAsia="Times New Roman" w:cs="Calibri"/>
                <w:b/>
                <w:bCs/>
                <w:color w:val="FFFFFF"/>
                <w:sz w:val="20"/>
                <w:szCs w:val="20"/>
              </w:rPr>
            </w:pPr>
          </w:p>
        </w:tc>
        <w:tc>
          <w:tcPr>
            <w:tcW w:w="30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C0CCF" w:rsidRPr="008B43F6" w:rsidRDefault="002C0CCF" w:rsidP="00C92E54">
            <w:pPr>
              <w:spacing w:after="0"/>
              <w:jc w:val="both"/>
              <w:rPr>
                <w:rFonts w:eastAsia="Times New Roman" w:cs="Calibri"/>
                <w:color w:val="000000"/>
                <w:sz w:val="20"/>
                <w:szCs w:val="20"/>
              </w:rPr>
            </w:pPr>
            <w:r w:rsidRPr="008B43F6">
              <w:rPr>
                <w:rFonts w:eastAsia="Times New Roman" w:cs="Calibri"/>
                <w:color w:val="000000"/>
                <w:sz w:val="20"/>
                <w:szCs w:val="20"/>
              </w:rPr>
              <w:t>Mortalidad reducida [2, 5, 8].</w:t>
            </w:r>
          </w:p>
        </w:tc>
        <w:tc>
          <w:tcPr>
            <w:tcW w:w="16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C0CCF" w:rsidRPr="008B43F6" w:rsidRDefault="002C0CCF" w:rsidP="00C92E54">
            <w:pPr>
              <w:spacing w:after="0"/>
              <w:jc w:val="center"/>
              <w:rPr>
                <w:rFonts w:eastAsia="Times New Roman" w:cs="Calibri"/>
                <w:b/>
                <w:bCs/>
                <w:color w:val="FFFFFF"/>
                <w:sz w:val="20"/>
                <w:szCs w:val="20"/>
              </w:rPr>
            </w:pPr>
            <w:r w:rsidRPr="008B43F6">
              <w:rPr>
                <w:rFonts w:eastAsia="Times New Roman" w:cs="Calibri"/>
                <w:color w:val="000000"/>
                <w:sz w:val="20"/>
                <w:szCs w:val="20"/>
              </w:rPr>
              <w:sym w:font="Symbol" w:char="F0B7"/>
            </w:r>
          </w:p>
        </w:tc>
        <w:tc>
          <w:tcPr>
            <w:tcW w:w="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C0CCF" w:rsidRPr="008B43F6" w:rsidRDefault="002C0CCF" w:rsidP="00C92E54">
            <w:pPr>
              <w:spacing w:after="0"/>
              <w:jc w:val="center"/>
              <w:rPr>
                <w:rFonts w:eastAsia="Times New Roman" w:cs="Calibri"/>
                <w:b/>
                <w:bCs/>
                <w:color w:val="FFFFFF"/>
                <w:sz w:val="20"/>
                <w:szCs w:val="20"/>
              </w:rPr>
            </w:pPr>
          </w:p>
        </w:tc>
        <w:tc>
          <w:tcPr>
            <w:tcW w:w="1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C0CCF" w:rsidRPr="008B43F6" w:rsidRDefault="002C0CCF" w:rsidP="00C92E54">
            <w:pPr>
              <w:spacing w:after="0"/>
              <w:jc w:val="center"/>
              <w:rPr>
                <w:rFonts w:eastAsia="Times New Roman" w:cs="Calibri"/>
                <w:b/>
                <w:bCs/>
                <w:color w:val="FFFFFF"/>
                <w:sz w:val="20"/>
                <w:szCs w:val="20"/>
              </w:rPr>
            </w:pPr>
          </w:p>
        </w:tc>
        <w:tc>
          <w:tcPr>
            <w:tcW w:w="10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C0CCF" w:rsidRPr="008B43F6" w:rsidRDefault="002C0CCF" w:rsidP="00C92E54">
            <w:pPr>
              <w:spacing w:after="0"/>
              <w:jc w:val="center"/>
              <w:rPr>
                <w:rFonts w:eastAsia="Times New Roman" w:cs="Calibri"/>
                <w:b/>
                <w:bCs/>
                <w:color w:val="FFFFFF"/>
                <w:sz w:val="20"/>
                <w:szCs w:val="20"/>
              </w:rPr>
            </w:pPr>
          </w:p>
        </w:tc>
      </w:tr>
      <w:tr w:rsidR="002C0CCF" w:rsidRPr="008B43F6" w:rsidTr="00F14047">
        <w:trPr>
          <w:trHeight w:val="315"/>
        </w:trPr>
        <w:tc>
          <w:tcPr>
            <w:tcW w:w="1268" w:type="dxa"/>
            <w:vMerge/>
            <w:tcBorders>
              <w:left w:val="single" w:sz="4" w:space="0" w:color="808080" w:themeColor="background1" w:themeShade="80"/>
              <w:right w:val="single" w:sz="4" w:space="0" w:color="808080" w:themeColor="background1" w:themeShade="80"/>
            </w:tcBorders>
            <w:vAlign w:val="center"/>
          </w:tcPr>
          <w:p w:rsidR="002C0CCF" w:rsidRPr="008B43F6" w:rsidRDefault="002C0CCF" w:rsidP="00C92E54">
            <w:pPr>
              <w:spacing w:after="0"/>
              <w:rPr>
                <w:rFonts w:eastAsia="Times New Roman" w:cs="Calibri"/>
                <w:b/>
                <w:bCs/>
                <w:color w:val="FFFFFF"/>
                <w:sz w:val="20"/>
                <w:szCs w:val="20"/>
              </w:rPr>
            </w:pPr>
          </w:p>
        </w:tc>
        <w:tc>
          <w:tcPr>
            <w:tcW w:w="30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C0CCF" w:rsidRPr="008B43F6" w:rsidRDefault="002C0CCF" w:rsidP="00C92E54">
            <w:pPr>
              <w:spacing w:after="0"/>
              <w:jc w:val="both"/>
              <w:rPr>
                <w:rFonts w:eastAsia="Times New Roman" w:cs="Calibri"/>
                <w:color w:val="000000"/>
                <w:sz w:val="20"/>
                <w:szCs w:val="20"/>
              </w:rPr>
            </w:pPr>
            <w:r w:rsidRPr="008B43F6">
              <w:rPr>
                <w:rFonts w:eastAsia="Times New Roman" w:cs="Calibri"/>
                <w:color w:val="000000"/>
                <w:sz w:val="20"/>
                <w:szCs w:val="20"/>
              </w:rPr>
              <w:t>Morbilidad reducida [2, 5, 8].</w:t>
            </w:r>
          </w:p>
        </w:tc>
        <w:tc>
          <w:tcPr>
            <w:tcW w:w="16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C0CCF" w:rsidRPr="008B43F6" w:rsidRDefault="002C0CCF" w:rsidP="00C92E54">
            <w:pPr>
              <w:spacing w:after="0"/>
              <w:jc w:val="center"/>
              <w:rPr>
                <w:rFonts w:eastAsia="Times New Roman" w:cs="Calibri"/>
                <w:b/>
                <w:bCs/>
                <w:color w:val="FFFFFF"/>
                <w:sz w:val="20"/>
                <w:szCs w:val="20"/>
              </w:rPr>
            </w:pPr>
            <w:r w:rsidRPr="008B43F6">
              <w:rPr>
                <w:rFonts w:eastAsia="Times New Roman" w:cs="Calibri"/>
                <w:color w:val="000000"/>
                <w:sz w:val="20"/>
                <w:szCs w:val="20"/>
              </w:rPr>
              <w:sym w:font="Symbol" w:char="F0B7"/>
            </w:r>
          </w:p>
        </w:tc>
        <w:tc>
          <w:tcPr>
            <w:tcW w:w="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C0CCF" w:rsidRPr="008B43F6" w:rsidRDefault="002C0CCF" w:rsidP="00C92E54">
            <w:pPr>
              <w:spacing w:after="0"/>
              <w:jc w:val="center"/>
              <w:rPr>
                <w:rFonts w:eastAsia="Times New Roman" w:cs="Calibri"/>
                <w:b/>
                <w:bCs/>
                <w:color w:val="FFFFFF"/>
                <w:sz w:val="20"/>
                <w:szCs w:val="20"/>
              </w:rPr>
            </w:pPr>
          </w:p>
        </w:tc>
        <w:tc>
          <w:tcPr>
            <w:tcW w:w="1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C0CCF" w:rsidRPr="008B43F6" w:rsidRDefault="002C0CCF" w:rsidP="00C92E54">
            <w:pPr>
              <w:spacing w:after="0"/>
              <w:jc w:val="center"/>
              <w:rPr>
                <w:rFonts w:eastAsia="Times New Roman" w:cs="Calibri"/>
                <w:b/>
                <w:bCs/>
                <w:color w:val="FFFFFF"/>
                <w:sz w:val="20"/>
                <w:szCs w:val="20"/>
              </w:rPr>
            </w:pPr>
          </w:p>
        </w:tc>
        <w:tc>
          <w:tcPr>
            <w:tcW w:w="10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C0CCF" w:rsidRPr="008B43F6" w:rsidRDefault="002C0CCF" w:rsidP="00C92E54">
            <w:pPr>
              <w:spacing w:after="0"/>
              <w:jc w:val="center"/>
              <w:rPr>
                <w:rFonts w:eastAsia="Times New Roman" w:cs="Calibri"/>
                <w:b/>
                <w:bCs/>
                <w:color w:val="FFFFFF"/>
                <w:sz w:val="20"/>
                <w:szCs w:val="20"/>
              </w:rPr>
            </w:pPr>
          </w:p>
        </w:tc>
      </w:tr>
      <w:tr w:rsidR="002C0CCF" w:rsidRPr="008B43F6" w:rsidTr="00F14047">
        <w:trPr>
          <w:trHeight w:val="315"/>
        </w:trPr>
        <w:tc>
          <w:tcPr>
            <w:tcW w:w="1268" w:type="dxa"/>
            <w:vMerge/>
            <w:tcBorders>
              <w:left w:val="single" w:sz="4" w:space="0" w:color="808080" w:themeColor="background1" w:themeShade="80"/>
              <w:bottom w:val="single" w:sz="4" w:space="0" w:color="A6A6A6" w:themeColor="background1" w:themeShade="A6"/>
              <w:right w:val="single" w:sz="4" w:space="0" w:color="808080" w:themeColor="background1" w:themeShade="80"/>
            </w:tcBorders>
            <w:vAlign w:val="center"/>
          </w:tcPr>
          <w:p w:rsidR="002C0CCF" w:rsidRPr="008B43F6" w:rsidRDefault="002C0CCF" w:rsidP="00C92E54">
            <w:pPr>
              <w:spacing w:after="0"/>
              <w:rPr>
                <w:rFonts w:eastAsia="Times New Roman" w:cs="Calibri"/>
                <w:b/>
                <w:bCs/>
                <w:color w:val="FFFFFF"/>
                <w:sz w:val="20"/>
                <w:szCs w:val="20"/>
              </w:rPr>
            </w:pPr>
          </w:p>
        </w:tc>
        <w:tc>
          <w:tcPr>
            <w:tcW w:w="3031" w:type="dxa"/>
            <w:tcBorders>
              <w:top w:val="single" w:sz="4" w:space="0" w:color="808080" w:themeColor="background1" w:themeShade="80"/>
              <w:left w:val="single" w:sz="4" w:space="0" w:color="808080" w:themeColor="background1" w:themeShade="80"/>
              <w:bottom w:val="single" w:sz="4" w:space="0" w:color="A6A6A6" w:themeColor="background1" w:themeShade="A6"/>
              <w:right w:val="single" w:sz="4" w:space="0" w:color="808080" w:themeColor="background1" w:themeShade="80"/>
            </w:tcBorders>
            <w:shd w:val="clear" w:color="auto" w:fill="auto"/>
            <w:vAlign w:val="center"/>
          </w:tcPr>
          <w:p w:rsidR="002C0CCF" w:rsidRPr="008B43F6" w:rsidRDefault="002C0CCF" w:rsidP="00C92E54">
            <w:pPr>
              <w:spacing w:after="0"/>
              <w:jc w:val="both"/>
              <w:rPr>
                <w:rFonts w:cs="Calibri"/>
                <w:b/>
                <w:bCs/>
                <w:color w:val="000000"/>
                <w:sz w:val="20"/>
                <w:szCs w:val="20"/>
              </w:rPr>
            </w:pPr>
            <w:r w:rsidRPr="008B43F6">
              <w:rPr>
                <w:rFonts w:eastAsia="Times New Roman" w:cs="Calibri"/>
                <w:color w:val="000000"/>
                <w:sz w:val="20"/>
                <w:szCs w:val="20"/>
              </w:rPr>
              <w:t>Efectos fisiológicos reducidos [2, 8].</w:t>
            </w:r>
          </w:p>
        </w:tc>
        <w:tc>
          <w:tcPr>
            <w:tcW w:w="16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C0CCF" w:rsidRPr="008B43F6" w:rsidRDefault="002C0CCF" w:rsidP="00C92E54">
            <w:pPr>
              <w:spacing w:after="0"/>
              <w:jc w:val="center"/>
              <w:rPr>
                <w:rFonts w:eastAsia="Times New Roman" w:cs="Calibri"/>
                <w:b/>
                <w:bCs/>
                <w:color w:val="FFFFFF"/>
                <w:sz w:val="20"/>
                <w:szCs w:val="20"/>
              </w:rPr>
            </w:pPr>
            <w:r w:rsidRPr="008B43F6">
              <w:rPr>
                <w:rFonts w:eastAsia="Times New Roman" w:cs="Calibri"/>
                <w:color w:val="000000"/>
                <w:sz w:val="20"/>
                <w:szCs w:val="20"/>
              </w:rPr>
              <w:sym w:font="Symbol" w:char="F0B7"/>
            </w:r>
          </w:p>
        </w:tc>
        <w:tc>
          <w:tcPr>
            <w:tcW w:w="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C0CCF" w:rsidRPr="008B43F6" w:rsidRDefault="002C0CCF" w:rsidP="00C92E54">
            <w:pPr>
              <w:spacing w:after="0"/>
              <w:jc w:val="center"/>
              <w:rPr>
                <w:rFonts w:eastAsia="Times New Roman" w:cs="Calibri"/>
                <w:b/>
                <w:bCs/>
                <w:color w:val="FFFFFF"/>
                <w:sz w:val="20"/>
                <w:szCs w:val="20"/>
              </w:rPr>
            </w:pPr>
          </w:p>
        </w:tc>
        <w:tc>
          <w:tcPr>
            <w:tcW w:w="1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C0CCF" w:rsidRPr="008B43F6" w:rsidRDefault="002C0CCF" w:rsidP="00C92E54">
            <w:pPr>
              <w:spacing w:after="0"/>
              <w:jc w:val="center"/>
              <w:rPr>
                <w:rFonts w:eastAsia="Times New Roman" w:cs="Calibri"/>
                <w:b/>
                <w:bCs/>
                <w:color w:val="FFFFFF"/>
                <w:sz w:val="20"/>
                <w:szCs w:val="20"/>
              </w:rPr>
            </w:pPr>
          </w:p>
        </w:tc>
        <w:tc>
          <w:tcPr>
            <w:tcW w:w="10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C0CCF" w:rsidRPr="008B43F6" w:rsidRDefault="002C0CCF" w:rsidP="00C92E54">
            <w:pPr>
              <w:spacing w:after="0"/>
              <w:jc w:val="center"/>
              <w:rPr>
                <w:rFonts w:eastAsia="Times New Roman" w:cs="Calibri"/>
                <w:b/>
                <w:bCs/>
                <w:color w:val="FFFFFF"/>
                <w:sz w:val="20"/>
                <w:szCs w:val="20"/>
              </w:rPr>
            </w:pPr>
          </w:p>
        </w:tc>
      </w:tr>
      <w:tr w:rsidR="002C0CCF" w:rsidRPr="008B43F6" w:rsidTr="00F14047">
        <w:trPr>
          <w:trHeight w:val="315"/>
        </w:trPr>
        <w:tc>
          <w:tcPr>
            <w:tcW w:w="1268" w:type="dxa"/>
            <w:vMerge w:val="restart"/>
            <w:tcBorders>
              <w:top w:val="single" w:sz="4" w:space="0" w:color="A6A6A6" w:themeColor="background1" w:themeShade="A6"/>
              <w:left w:val="single" w:sz="4" w:space="0" w:color="808080" w:themeColor="background1" w:themeShade="80"/>
              <w:right w:val="single" w:sz="4" w:space="0" w:color="A6A6A6" w:themeColor="background1" w:themeShade="A6"/>
            </w:tcBorders>
            <w:vAlign w:val="center"/>
          </w:tcPr>
          <w:p w:rsidR="002C0CCF" w:rsidRPr="008B43F6" w:rsidRDefault="002C0CCF" w:rsidP="00C92E54">
            <w:pPr>
              <w:spacing w:after="0"/>
              <w:rPr>
                <w:rFonts w:eastAsia="Times New Roman" w:cs="Calibri"/>
                <w:b/>
                <w:bCs/>
                <w:color w:val="FFFFFF"/>
                <w:sz w:val="20"/>
                <w:szCs w:val="20"/>
              </w:rPr>
            </w:pPr>
            <w:r w:rsidRPr="008B43F6">
              <w:rPr>
                <w:rFonts w:eastAsia="Times New Roman" w:cs="Calibri"/>
                <w:b/>
                <w:color w:val="000000"/>
                <w:sz w:val="20"/>
                <w:szCs w:val="20"/>
              </w:rPr>
              <w:t xml:space="preserve">Co-beneficios </w:t>
            </w:r>
            <w:r w:rsidRPr="008B43F6">
              <w:rPr>
                <w:rFonts w:eastAsia="Times New Roman" w:cs="Calibri"/>
                <w:b/>
                <w:color w:val="000000"/>
                <w:sz w:val="20"/>
                <w:szCs w:val="20"/>
              </w:rPr>
              <w:lastRenderedPageBreak/>
              <w:t>en la provisión de servicios energéticos</w:t>
            </w:r>
          </w:p>
        </w:tc>
        <w:tc>
          <w:tcPr>
            <w:tcW w:w="3031" w:type="dxa"/>
            <w:tcBorders>
              <w:top w:val="single" w:sz="4" w:space="0" w:color="808080" w:themeColor="background1" w:themeShade="80"/>
              <w:left w:val="single" w:sz="4" w:space="0" w:color="A6A6A6" w:themeColor="background1" w:themeShade="A6"/>
              <w:bottom w:val="single" w:sz="4" w:space="0" w:color="808080" w:themeColor="background1" w:themeShade="80"/>
              <w:right w:val="single" w:sz="4" w:space="0" w:color="808080" w:themeColor="background1" w:themeShade="80"/>
            </w:tcBorders>
            <w:shd w:val="clear" w:color="auto" w:fill="auto"/>
            <w:vAlign w:val="center"/>
          </w:tcPr>
          <w:p w:rsidR="002C0CCF" w:rsidRPr="008B43F6" w:rsidRDefault="002C0CCF" w:rsidP="00C92E54">
            <w:pPr>
              <w:spacing w:after="0"/>
              <w:jc w:val="both"/>
              <w:rPr>
                <w:rFonts w:eastAsia="Times New Roman" w:cs="Calibri"/>
                <w:color w:val="000000"/>
                <w:sz w:val="20"/>
                <w:szCs w:val="20"/>
              </w:rPr>
            </w:pPr>
            <w:r w:rsidRPr="008B43F6">
              <w:rPr>
                <w:rFonts w:eastAsia="Times New Roman" w:cs="Calibri"/>
                <w:color w:val="000000"/>
                <w:sz w:val="20"/>
                <w:szCs w:val="20"/>
              </w:rPr>
              <w:lastRenderedPageBreak/>
              <w:t xml:space="preserve">Menos cortes y re-conexiones del servicio ocasionados por </w:t>
            </w:r>
            <w:r w:rsidRPr="008B43F6">
              <w:rPr>
                <w:rFonts w:eastAsia="Times New Roman" w:cs="Calibri"/>
                <w:color w:val="000000"/>
                <w:sz w:val="20"/>
                <w:szCs w:val="20"/>
              </w:rPr>
              <w:lastRenderedPageBreak/>
              <w:t>negligencia en los pagos [4, 5].</w:t>
            </w:r>
          </w:p>
        </w:tc>
        <w:tc>
          <w:tcPr>
            <w:tcW w:w="16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C0CCF" w:rsidRPr="008B43F6" w:rsidRDefault="002C0CCF" w:rsidP="00C92E54">
            <w:pPr>
              <w:spacing w:after="0"/>
              <w:jc w:val="center"/>
              <w:rPr>
                <w:rFonts w:eastAsia="Times New Roman" w:cs="Calibri"/>
                <w:b/>
                <w:bCs/>
                <w:color w:val="FFFFFF"/>
                <w:sz w:val="20"/>
                <w:szCs w:val="20"/>
              </w:rPr>
            </w:pPr>
          </w:p>
        </w:tc>
        <w:tc>
          <w:tcPr>
            <w:tcW w:w="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C0CCF" w:rsidRPr="008B43F6" w:rsidRDefault="002C0CCF" w:rsidP="00C92E54">
            <w:pPr>
              <w:spacing w:after="0"/>
              <w:jc w:val="center"/>
              <w:rPr>
                <w:rFonts w:eastAsia="Times New Roman" w:cs="Calibri"/>
                <w:b/>
                <w:bCs/>
                <w:color w:val="FFFFFF"/>
                <w:sz w:val="20"/>
                <w:szCs w:val="20"/>
              </w:rPr>
            </w:pPr>
          </w:p>
        </w:tc>
        <w:tc>
          <w:tcPr>
            <w:tcW w:w="1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C0CCF" w:rsidRPr="008B43F6" w:rsidRDefault="002C0CCF" w:rsidP="00C92E54">
            <w:pPr>
              <w:spacing w:after="0"/>
              <w:jc w:val="center"/>
              <w:rPr>
                <w:rFonts w:eastAsia="Times New Roman" w:cs="Calibri"/>
                <w:b/>
                <w:bCs/>
                <w:color w:val="FFFFFF"/>
                <w:sz w:val="20"/>
                <w:szCs w:val="20"/>
              </w:rPr>
            </w:pPr>
          </w:p>
        </w:tc>
        <w:tc>
          <w:tcPr>
            <w:tcW w:w="10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C0CCF" w:rsidRPr="008B43F6" w:rsidRDefault="002C0CCF" w:rsidP="00C92E54">
            <w:pPr>
              <w:spacing w:after="0"/>
              <w:jc w:val="center"/>
              <w:rPr>
                <w:rFonts w:eastAsia="Times New Roman" w:cs="Calibri"/>
                <w:b/>
                <w:bCs/>
                <w:color w:val="FFFFFF"/>
                <w:sz w:val="20"/>
                <w:szCs w:val="20"/>
              </w:rPr>
            </w:pPr>
            <w:r w:rsidRPr="008B43F6">
              <w:rPr>
                <w:rFonts w:eastAsia="Times New Roman" w:cs="Calibri"/>
                <w:color w:val="000000"/>
                <w:sz w:val="20"/>
                <w:szCs w:val="20"/>
              </w:rPr>
              <w:sym w:font="Symbol" w:char="F0B7"/>
            </w:r>
          </w:p>
        </w:tc>
      </w:tr>
      <w:tr w:rsidR="002C0CCF" w:rsidRPr="008B43F6" w:rsidTr="00F14047">
        <w:trPr>
          <w:trHeight w:val="315"/>
        </w:trPr>
        <w:tc>
          <w:tcPr>
            <w:tcW w:w="1268" w:type="dxa"/>
            <w:vMerge/>
            <w:tcBorders>
              <w:left w:val="single" w:sz="4" w:space="0" w:color="808080" w:themeColor="background1" w:themeShade="80"/>
              <w:right w:val="single" w:sz="4" w:space="0" w:color="A6A6A6" w:themeColor="background1" w:themeShade="A6"/>
            </w:tcBorders>
            <w:shd w:val="clear" w:color="auto" w:fill="auto"/>
            <w:vAlign w:val="center"/>
          </w:tcPr>
          <w:p w:rsidR="002C0CCF" w:rsidRPr="008B43F6" w:rsidRDefault="002C0CCF" w:rsidP="00C92E54">
            <w:pPr>
              <w:spacing w:after="0"/>
              <w:rPr>
                <w:rFonts w:eastAsia="Times New Roman" w:cs="Calibri"/>
                <w:b/>
                <w:bCs/>
                <w:color w:val="FFFFFF"/>
                <w:sz w:val="20"/>
                <w:szCs w:val="20"/>
              </w:rPr>
            </w:pPr>
          </w:p>
        </w:tc>
        <w:tc>
          <w:tcPr>
            <w:tcW w:w="3031" w:type="dxa"/>
            <w:tcBorders>
              <w:top w:val="single" w:sz="4" w:space="0" w:color="808080" w:themeColor="background1" w:themeShade="80"/>
              <w:left w:val="single" w:sz="4" w:space="0" w:color="A6A6A6" w:themeColor="background1" w:themeShade="A6"/>
              <w:bottom w:val="single" w:sz="4" w:space="0" w:color="808080" w:themeColor="background1" w:themeShade="80"/>
              <w:right w:val="single" w:sz="4" w:space="0" w:color="808080" w:themeColor="background1" w:themeShade="80"/>
            </w:tcBorders>
            <w:shd w:val="clear" w:color="auto" w:fill="auto"/>
            <w:vAlign w:val="center"/>
          </w:tcPr>
          <w:p w:rsidR="002C0CCF" w:rsidRPr="008B43F6" w:rsidRDefault="002C0CCF" w:rsidP="00C92E54">
            <w:pPr>
              <w:spacing w:after="0"/>
              <w:jc w:val="both"/>
              <w:rPr>
                <w:rFonts w:eastAsia="Times New Roman" w:cs="Calibri"/>
                <w:color w:val="000000"/>
                <w:sz w:val="20"/>
                <w:szCs w:val="20"/>
              </w:rPr>
            </w:pPr>
            <w:r w:rsidRPr="008B43F6">
              <w:rPr>
                <w:rFonts w:eastAsia="Times New Roman" w:cs="Calibri"/>
                <w:color w:val="000000"/>
                <w:sz w:val="20"/>
                <w:szCs w:val="20"/>
              </w:rPr>
              <w:t>Reducción de gastos en notificaciones, cobros y llamadas a clientes [4, 5].</w:t>
            </w:r>
          </w:p>
        </w:tc>
        <w:tc>
          <w:tcPr>
            <w:tcW w:w="16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C0CCF" w:rsidRPr="008B43F6" w:rsidRDefault="002C0CCF" w:rsidP="00C92E54">
            <w:pPr>
              <w:spacing w:after="0"/>
              <w:jc w:val="center"/>
              <w:rPr>
                <w:rFonts w:eastAsia="Times New Roman" w:cs="Calibri"/>
                <w:b/>
                <w:bCs/>
                <w:color w:val="FFFFFF"/>
                <w:sz w:val="20"/>
                <w:szCs w:val="20"/>
              </w:rPr>
            </w:pPr>
          </w:p>
        </w:tc>
        <w:tc>
          <w:tcPr>
            <w:tcW w:w="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C0CCF" w:rsidRPr="008B43F6" w:rsidRDefault="002C0CCF" w:rsidP="00C92E54">
            <w:pPr>
              <w:spacing w:after="0"/>
              <w:jc w:val="center"/>
              <w:rPr>
                <w:rFonts w:eastAsia="Times New Roman" w:cs="Calibri"/>
                <w:b/>
                <w:bCs/>
                <w:color w:val="FFFFFF"/>
                <w:sz w:val="20"/>
                <w:szCs w:val="20"/>
              </w:rPr>
            </w:pPr>
          </w:p>
        </w:tc>
        <w:tc>
          <w:tcPr>
            <w:tcW w:w="1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C0CCF" w:rsidRPr="008B43F6" w:rsidRDefault="002C0CCF" w:rsidP="00C92E54">
            <w:pPr>
              <w:spacing w:after="0"/>
              <w:jc w:val="center"/>
              <w:rPr>
                <w:rFonts w:eastAsia="Times New Roman" w:cs="Calibri"/>
                <w:b/>
                <w:bCs/>
                <w:color w:val="FFFFFF"/>
                <w:sz w:val="20"/>
                <w:szCs w:val="20"/>
              </w:rPr>
            </w:pPr>
          </w:p>
        </w:tc>
        <w:tc>
          <w:tcPr>
            <w:tcW w:w="10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C0CCF" w:rsidRPr="008B43F6" w:rsidRDefault="002C0CCF" w:rsidP="00C92E54">
            <w:pPr>
              <w:spacing w:after="0"/>
              <w:jc w:val="center"/>
              <w:rPr>
                <w:rFonts w:eastAsia="Times New Roman" w:cs="Calibri"/>
                <w:b/>
                <w:bCs/>
                <w:color w:val="FFFFFF"/>
                <w:sz w:val="20"/>
                <w:szCs w:val="20"/>
              </w:rPr>
            </w:pPr>
            <w:r w:rsidRPr="008B43F6">
              <w:rPr>
                <w:rFonts w:eastAsia="Times New Roman" w:cs="Calibri"/>
                <w:color w:val="000000"/>
                <w:sz w:val="20"/>
                <w:szCs w:val="20"/>
              </w:rPr>
              <w:sym w:font="Symbol" w:char="F0B7"/>
            </w:r>
          </w:p>
        </w:tc>
      </w:tr>
      <w:tr w:rsidR="002C0CCF" w:rsidRPr="008B43F6" w:rsidTr="00F14047">
        <w:trPr>
          <w:trHeight w:val="315"/>
        </w:trPr>
        <w:tc>
          <w:tcPr>
            <w:tcW w:w="1268" w:type="dxa"/>
            <w:vMerge/>
            <w:tcBorders>
              <w:left w:val="single" w:sz="4" w:space="0" w:color="808080" w:themeColor="background1" w:themeShade="80"/>
              <w:right w:val="single" w:sz="4" w:space="0" w:color="A6A6A6" w:themeColor="background1" w:themeShade="A6"/>
            </w:tcBorders>
            <w:vAlign w:val="center"/>
          </w:tcPr>
          <w:p w:rsidR="002C0CCF" w:rsidRPr="008B43F6" w:rsidRDefault="002C0CCF" w:rsidP="00C92E54">
            <w:pPr>
              <w:spacing w:after="0"/>
              <w:rPr>
                <w:rFonts w:eastAsia="Times New Roman" w:cs="Calibri"/>
                <w:b/>
                <w:bCs/>
                <w:color w:val="FFFFFF"/>
                <w:sz w:val="20"/>
                <w:szCs w:val="20"/>
              </w:rPr>
            </w:pPr>
          </w:p>
        </w:tc>
        <w:tc>
          <w:tcPr>
            <w:tcW w:w="3031" w:type="dxa"/>
            <w:tcBorders>
              <w:top w:val="single" w:sz="4" w:space="0" w:color="808080" w:themeColor="background1" w:themeShade="80"/>
              <w:left w:val="single" w:sz="4" w:space="0" w:color="A6A6A6" w:themeColor="background1" w:themeShade="A6"/>
              <w:bottom w:val="single" w:sz="4" w:space="0" w:color="808080" w:themeColor="background1" w:themeShade="80"/>
              <w:right w:val="single" w:sz="4" w:space="0" w:color="808080" w:themeColor="background1" w:themeShade="80"/>
            </w:tcBorders>
            <w:shd w:val="clear" w:color="auto" w:fill="auto"/>
            <w:vAlign w:val="center"/>
          </w:tcPr>
          <w:p w:rsidR="002C0CCF" w:rsidRPr="008B43F6" w:rsidRDefault="002C0CCF" w:rsidP="00C92E54">
            <w:pPr>
              <w:spacing w:after="0"/>
              <w:jc w:val="both"/>
              <w:rPr>
                <w:rFonts w:eastAsia="Times New Roman" w:cs="Calibri"/>
                <w:color w:val="000000"/>
                <w:sz w:val="20"/>
                <w:szCs w:val="20"/>
              </w:rPr>
            </w:pPr>
            <w:r w:rsidRPr="008B43F6">
              <w:rPr>
                <w:rFonts w:eastAsia="Times New Roman" w:cs="Calibri"/>
                <w:color w:val="000000"/>
                <w:sz w:val="20"/>
                <w:szCs w:val="20"/>
              </w:rPr>
              <w:t>Menor cancelación de deuda impagable [4].</w:t>
            </w:r>
          </w:p>
        </w:tc>
        <w:tc>
          <w:tcPr>
            <w:tcW w:w="16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C0CCF" w:rsidRPr="008B43F6" w:rsidRDefault="002C0CCF" w:rsidP="00C92E54">
            <w:pPr>
              <w:spacing w:after="0"/>
              <w:jc w:val="center"/>
              <w:rPr>
                <w:rFonts w:eastAsia="Times New Roman" w:cs="Calibri"/>
                <w:b/>
                <w:bCs/>
                <w:color w:val="FFFFFF"/>
                <w:sz w:val="20"/>
                <w:szCs w:val="20"/>
              </w:rPr>
            </w:pPr>
          </w:p>
        </w:tc>
        <w:tc>
          <w:tcPr>
            <w:tcW w:w="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C0CCF" w:rsidRPr="008B43F6" w:rsidRDefault="002C0CCF" w:rsidP="00C92E54">
            <w:pPr>
              <w:spacing w:after="0"/>
              <w:jc w:val="center"/>
              <w:rPr>
                <w:rFonts w:eastAsia="Times New Roman" w:cs="Calibri"/>
                <w:b/>
                <w:bCs/>
                <w:color w:val="FFFFFF"/>
                <w:sz w:val="20"/>
                <w:szCs w:val="20"/>
              </w:rPr>
            </w:pPr>
          </w:p>
        </w:tc>
        <w:tc>
          <w:tcPr>
            <w:tcW w:w="1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C0CCF" w:rsidRPr="008B43F6" w:rsidRDefault="002C0CCF" w:rsidP="00C92E54">
            <w:pPr>
              <w:spacing w:after="0"/>
              <w:jc w:val="center"/>
              <w:rPr>
                <w:rFonts w:eastAsia="Times New Roman" w:cs="Calibri"/>
                <w:b/>
                <w:bCs/>
                <w:color w:val="FFFFFF"/>
                <w:sz w:val="20"/>
                <w:szCs w:val="20"/>
              </w:rPr>
            </w:pPr>
          </w:p>
        </w:tc>
        <w:tc>
          <w:tcPr>
            <w:tcW w:w="10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C0CCF" w:rsidRPr="008B43F6" w:rsidRDefault="002C0CCF" w:rsidP="00C92E54">
            <w:pPr>
              <w:spacing w:after="0"/>
              <w:jc w:val="center"/>
              <w:rPr>
                <w:rFonts w:eastAsia="Times New Roman" w:cs="Calibri"/>
                <w:b/>
                <w:bCs/>
                <w:color w:val="FFFFFF"/>
                <w:sz w:val="20"/>
                <w:szCs w:val="20"/>
              </w:rPr>
            </w:pPr>
            <w:r w:rsidRPr="008B43F6">
              <w:rPr>
                <w:rFonts w:eastAsia="Times New Roman" w:cs="Calibri"/>
                <w:color w:val="000000"/>
                <w:sz w:val="20"/>
                <w:szCs w:val="20"/>
              </w:rPr>
              <w:sym w:font="Symbol" w:char="F0B7"/>
            </w:r>
          </w:p>
        </w:tc>
      </w:tr>
      <w:tr w:rsidR="002C0CCF" w:rsidRPr="008B43F6" w:rsidTr="00F14047">
        <w:trPr>
          <w:trHeight w:val="315"/>
        </w:trPr>
        <w:tc>
          <w:tcPr>
            <w:tcW w:w="1268" w:type="dxa"/>
            <w:vMerge/>
            <w:tcBorders>
              <w:left w:val="single" w:sz="4" w:space="0" w:color="808080" w:themeColor="background1" w:themeShade="80"/>
              <w:bottom w:val="single" w:sz="4" w:space="0" w:color="A6A6A6" w:themeColor="background1" w:themeShade="A6"/>
              <w:right w:val="single" w:sz="4" w:space="0" w:color="A6A6A6" w:themeColor="background1" w:themeShade="A6"/>
            </w:tcBorders>
            <w:vAlign w:val="center"/>
          </w:tcPr>
          <w:p w:rsidR="002C0CCF" w:rsidRPr="008B43F6" w:rsidRDefault="002C0CCF" w:rsidP="00C92E54">
            <w:pPr>
              <w:spacing w:after="0"/>
              <w:rPr>
                <w:rFonts w:eastAsia="Times New Roman" w:cs="Calibri"/>
                <w:b/>
                <w:bCs/>
                <w:color w:val="FFFFFF"/>
                <w:sz w:val="20"/>
                <w:szCs w:val="20"/>
              </w:rPr>
            </w:pPr>
          </w:p>
        </w:tc>
        <w:tc>
          <w:tcPr>
            <w:tcW w:w="3031" w:type="dxa"/>
            <w:tcBorders>
              <w:top w:val="single" w:sz="4" w:space="0" w:color="808080" w:themeColor="background1" w:themeShade="80"/>
              <w:left w:val="single" w:sz="4" w:space="0" w:color="A6A6A6" w:themeColor="background1" w:themeShade="A6"/>
              <w:bottom w:val="single" w:sz="4" w:space="0" w:color="808080" w:themeColor="background1" w:themeShade="80"/>
              <w:right w:val="single" w:sz="4" w:space="0" w:color="808080" w:themeColor="background1" w:themeShade="80"/>
            </w:tcBorders>
            <w:shd w:val="clear" w:color="auto" w:fill="auto"/>
            <w:vAlign w:val="center"/>
          </w:tcPr>
          <w:p w:rsidR="002C0CCF" w:rsidRPr="008B43F6" w:rsidRDefault="002C0CCF" w:rsidP="00C92E54">
            <w:pPr>
              <w:spacing w:after="0"/>
              <w:jc w:val="both"/>
              <w:rPr>
                <w:rFonts w:eastAsia="Times New Roman" w:cs="Calibri"/>
                <w:color w:val="000000"/>
                <w:sz w:val="20"/>
                <w:szCs w:val="20"/>
              </w:rPr>
            </w:pPr>
            <w:r w:rsidRPr="008B43F6">
              <w:rPr>
                <w:rFonts w:eastAsia="Times New Roman" w:cs="Calibri"/>
                <w:color w:val="000000"/>
                <w:sz w:val="20"/>
                <w:szCs w:val="20"/>
              </w:rPr>
              <w:t>Reducción de pérdidas de transmisión y distribución [4].</w:t>
            </w:r>
          </w:p>
        </w:tc>
        <w:tc>
          <w:tcPr>
            <w:tcW w:w="16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C0CCF" w:rsidRPr="008B43F6" w:rsidRDefault="002C0CCF" w:rsidP="00C92E54">
            <w:pPr>
              <w:spacing w:after="0"/>
              <w:jc w:val="center"/>
              <w:rPr>
                <w:rFonts w:eastAsia="Times New Roman" w:cs="Calibri"/>
                <w:b/>
                <w:bCs/>
                <w:color w:val="FFFFFF"/>
                <w:sz w:val="20"/>
                <w:szCs w:val="20"/>
              </w:rPr>
            </w:pPr>
          </w:p>
        </w:tc>
        <w:tc>
          <w:tcPr>
            <w:tcW w:w="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C0CCF" w:rsidRPr="008B43F6" w:rsidRDefault="002C0CCF" w:rsidP="00C92E54">
            <w:pPr>
              <w:spacing w:after="0"/>
              <w:jc w:val="center"/>
              <w:rPr>
                <w:rFonts w:eastAsia="Times New Roman" w:cs="Calibri"/>
                <w:b/>
                <w:bCs/>
                <w:color w:val="FFFFFF"/>
                <w:sz w:val="20"/>
                <w:szCs w:val="20"/>
              </w:rPr>
            </w:pPr>
          </w:p>
        </w:tc>
        <w:tc>
          <w:tcPr>
            <w:tcW w:w="1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C0CCF" w:rsidRPr="008B43F6" w:rsidRDefault="002C0CCF" w:rsidP="00C92E54">
            <w:pPr>
              <w:spacing w:after="0"/>
              <w:jc w:val="center"/>
              <w:rPr>
                <w:rFonts w:eastAsia="Times New Roman" w:cs="Calibri"/>
                <w:b/>
                <w:bCs/>
                <w:color w:val="FFFFFF"/>
                <w:sz w:val="20"/>
                <w:szCs w:val="20"/>
              </w:rPr>
            </w:pPr>
          </w:p>
        </w:tc>
        <w:tc>
          <w:tcPr>
            <w:tcW w:w="10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C0CCF" w:rsidRPr="008B43F6" w:rsidRDefault="002C0CCF" w:rsidP="00C92E54">
            <w:pPr>
              <w:spacing w:after="0"/>
              <w:jc w:val="center"/>
              <w:rPr>
                <w:rFonts w:eastAsia="Times New Roman" w:cs="Calibri"/>
                <w:b/>
                <w:bCs/>
                <w:color w:val="FFFFFF"/>
                <w:sz w:val="20"/>
                <w:szCs w:val="20"/>
              </w:rPr>
            </w:pPr>
            <w:r w:rsidRPr="008B43F6">
              <w:rPr>
                <w:rFonts w:eastAsia="Times New Roman" w:cs="Calibri"/>
                <w:color w:val="000000"/>
                <w:sz w:val="20"/>
                <w:szCs w:val="20"/>
              </w:rPr>
              <w:sym w:font="Symbol" w:char="F0B7"/>
            </w:r>
          </w:p>
        </w:tc>
      </w:tr>
    </w:tbl>
    <w:p w:rsidR="002C0CCF" w:rsidRPr="008B43F6" w:rsidRDefault="002C0CCF" w:rsidP="00C92E54"/>
    <w:p w:rsidR="002C0CCF" w:rsidRPr="008B43F6" w:rsidRDefault="002C0CCF" w:rsidP="00C92E54">
      <w:pPr>
        <w:jc w:val="both"/>
        <w:rPr>
          <w:rFonts w:cstheme="minorHAnsi"/>
          <w:sz w:val="24"/>
          <w:szCs w:val="24"/>
        </w:rPr>
      </w:pPr>
      <w:r w:rsidRPr="008B43F6">
        <w:rPr>
          <w:rFonts w:cstheme="minorHAnsi"/>
          <w:b/>
          <w:sz w:val="24"/>
          <w:szCs w:val="24"/>
        </w:rPr>
        <w:t>Tabla 1</w:t>
      </w:r>
      <w:proofErr w:type="gramStart"/>
      <w:r w:rsidRPr="008B43F6">
        <w:rPr>
          <w:rFonts w:cstheme="minorHAnsi"/>
          <w:b/>
          <w:sz w:val="24"/>
          <w:szCs w:val="24"/>
        </w:rPr>
        <w:t>.(</w:t>
      </w:r>
      <w:proofErr w:type="gramEnd"/>
      <w:r w:rsidRPr="008B43F6">
        <w:rPr>
          <w:rFonts w:cstheme="minorHAnsi"/>
          <w:b/>
          <w:sz w:val="24"/>
          <w:szCs w:val="24"/>
        </w:rPr>
        <w:t xml:space="preserve">cont.) </w:t>
      </w:r>
      <w:r w:rsidRPr="008B43F6">
        <w:rPr>
          <w:rFonts w:cstheme="minorHAnsi"/>
          <w:sz w:val="24"/>
          <w:szCs w:val="24"/>
        </w:rPr>
        <w:t>Co-beneficios derivados de las medidas de eficiencia energética en los edificios residenciales</w:t>
      </w:r>
    </w:p>
    <w:tbl>
      <w:tblPr>
        <w:tblW w:w="9100" w:type="dxa"/>
        <w:tblInd w:w="93" w:type="dxa"/>
        <w:tblLook w:val="04A0" w:firstRow="1" w:lastRow="0" w:firstColumn="1" w:lastColumn="0" w:noHBand="0" w:noVBand="1"/>
      </w:tblPr>
      <w:tblGrid>
        <w:gridCol w:w="1268"/>
        <w:gridCol w:w="3048"/>
        <w:gridCol w:w="1636"/>
        <w:gridCol w:w="951"/>
        <w:gridCol w:w="1104"/>
        <w:gridCol w:w="1093"/>
      </w:tblGrid>
      <w:tr w:rsidR="002C0CCF" w:rsidRPr="008B43F6" w:rsidTr="00F14047">
        <w:trPr>
          <w:trHeight w:val="300"/>
        </w:trPr>
        <w:tc>
          <w:tcPr>
            <w:tcW w:w="1268" w:type="dxa"/>
            <w:tcBorders>
              <w:top w:val="single" w:sz="8" w:space="0" w:color="808080"/>
              <w:left w:val="single" w:sz="8" w:space="0" w:color="808080"/>
              <w:bottom w:val="nil"/>
              <w:right w:val="single" w:sz="4" w:space="0" w:color="808080" w:themeColor="background1" w:themeShade="80"/>
            </w:tcBorders>
            <w:shd w:val="clear" w:color="000000" w:fill="538DD5"/>
            <w:noWrap/>
            <w:vAlign w:val="bottom"/>
            <w:hideMark/>
          </w:tcPr>
          <w:p w:rsidR="002C0CCF" w:rsidRPr="008B43F6" w:rsidRDefault="002C0CCF" w:rsidP="00C92E54">
            <w:pPr>
              <w:spacing w:after="0"/>
              <w:rPr>
                <w:rFonts w:eastAsia="Times New Roman" w:cs="Calibri"/>
                <w:color w:val="000000"/>
              </w:rPr>
            </w:pPr>
            <w:r w:rsidRPr="008B43F6">
              <w:rPr>
                <w:rFonts w:eastAsia="Times New Roman" w:cs="Calibri"/>
                <w:color w:val="000000"/>
              </w:rPr>
              <w:t> </w:t>
            </w:r>
          </w:p>
        </w:tc>
        <w:tc>
          <w:tcPr>
            <w:tcW w:w="3086" w:type="dxa"/>
            <w:tcBorders>
              <w:top w:val="single" w:sz="8" w:space="0" w:color="808080"/>
              <w:left w:val="single" w:sz="4" w:space="0" w:color="808080" w:themeColor="background1" w:themeShade="80"/>
              <w:bottom w:val="nil"/>
              <w:right w:val="nil"/>
            </w:tcBorders>
            <w:shd w:val="clear" w:color="000000" w:fill="538DD5"/>
            <w:vAlign w:val="bottom"/>
            <w:hideMark/>
          </w:tcPr>
          <w:p w:rsidR="002C0CCF" w:rsidRPr="008B43F6" w:rsidRDefault="002C0CCF" w:rsidP="00C92E54">
            <w:pPr>
              <w:spacing w:after="0"/>
              <w:rPr>
                <w:rFonts w:eastAsia="Times New Roman" w:cs="Calibri"/>
                <w:color w:val="000000"/>
              </w:rPr>
            </w:pPr>
            <w:r w:rsidRPr="008B43F6">
              <w:rPr>
                <w:rFonts w:eastAsia="Times New Roman" w:cs="Calibri"/>
                <w:color w:val="000000"/>
              </w:rPr>
              <w:t> </w:t>
            </w:r>
          </w:p>
        </w:tc>
        <w:tc>
          <w:tcPr>
            <w:tcW w:w="4746" w:type="dxa"/>
            <w:gridSpan w:val="4"/>
            <w:tcBorders>
              <w:top w:val="single" w:sz="8" w:space="0" w:color="808080"/>
              <w:left w:val="single" w:sz="4" w:space="0" w:color="808080"/>
              <w:bottom w:val="single" w:sz="4" w:space="0" w:color="808080"/>
              <w:right w:val="single" w:sz="8" w:space="0" w:color="808080"/>
            </w:tcBorders>
            <w:shd w:val="clear" w:color="000000" w:fill="538DD5"/>
            <w:noWrap/>
            <w:vAlign w:val="bottom"/>
            <w:hideMark/>
          </w:tcPr>
          <w:p w:rsidR="002C0CCF" w:rsidRPr="008B43F6" w:rsidRDefault="002C0CCF" w:rsidP="00C92E54">
            <w:pPr>
              <w:spacing w:after="0"/>
              <w:jc w:val="center"/>
              <w:rPr>
                <w:rFonts w:eastAsia="Times New Roman" w:cs="Calibri"/>
                <w:b/>
                <w:bCs/>
                <w:color w:val="FFFFFF"/>
                <w:sz w:val="20"/>
                <w:szCs w:val="20"/>
              </w:rPr>
            </w:pPr>
            <w:r w:rsidRPr="008B43F6">
              <w:rPr>
                <w:rFonts w:eastAsia="Times New Roman" w:cs="Calibri"/>
                <w:b/>
                <w:bCs/>
                <w:color w:val="FFFFFF"/>
                <w:sz w:val="20"/>
                <w:szCs w:val="20"/>
              </w:rPr>
              <w:t>Principal grupo beneficiario</w:t>
            </w:r>
          </w:p>
        </w:tc>
      </w:tr>
      <w:tr w:rsidR="002C0CCF" w:rsidRPr="008B43F6" w:rsidTr="00F14047">
        <w:trPr>
          <w:trHeight w:val="315"/>
        </w:trPr>
        <w:tc>
          <w:tcPr>
            <w:tcW w:w="1268" w:type="dxa"/>
            <w:tcBorders>
              <w:top w:val="nil"/>
              <w:left w:val="single" w:sz="8" w:space="0" w:color="808080"/>
              <w:bottom w:val="nil"/>
              <w:right w:val="single" w:sz="4" w:space="0" w:color="808080"/>
            </w:tcBorders>
            <w:shd w:val="clear" w:color="000000" w:fill="538DD5"/>
            <w:vAlign w:val="center"/>
            <w:hideMark/>
          </w:tcPr>
          <w:p w:rsidR="002C0CCF" w:rsidRPr="008B43F6" w:rsidRDefault="002C0CCF" w:rsidP="00C92E54">
            <w:pPr>
              <w:spacing w:after="0"/>
              <w:rPr>
                <w:rFonts w:eastAsia="Times New Roman" w:cs="Calibri"/>
                <w:b/>
                <w:bCs/>
                <w:color w:val="FFFFFF"/>
                <w:sz w:val="20"/>
                <w:szCs w:val="20"/>
              </w:rPr>
            </w:pPr>
            <w:r w:rsidRPr="008B43F6">
              <w:rPr>
                <w:rFonts w:eastAsia="Times New Roman" w:cs="Calibri"/>
                <w:b/>
                <w:bCs/>
                <w:color w:val="FFFFFF"/>
                <w:sz w:val="20"/>
                <w:szCs w:val="20"/>
              </w:rPr>
              <w:t>Categoría</w:t>
            </w:r>
          </w:p>
        </w:tc>
        <w:tc>
          <w:tcPr>
            <w:tcW w:w="3086" w:type="dxa"/>
            <w:tcBorders>
              <w:top w:val="nil"/>
              <w:left w:val="nil"/>
              <w:bottom w:val="nil"/>
              <w:right w:val="single" w:sz="4" w:space="0" w:color="808080"/>
            </w:tcBorders>
            <w:shd w:val="clear" w:color="000000" w:fill="548DD4"/>
            <w:vAlign w:val="center"/>
            <w:hideMark/>
          </w:tcPr>
          <w:p w:rsidR="002C0CCF" w:rsidRPr="008B43F6" w:rsidRDefault="002C0CCF" w:rsidP="00C92E54">
            <w:pPr>
              <w:spacing w:after="0"/>
              <w:rPr>
                <w:rFonts w:eastAsia="Times New Roman" w:cs="Calibri"/>
                <w:b/>
                <w:bCs/>
                <w:color w:val="FFFFFF"/>
                <w:sz w:val="20"/>
                <w:szCs w:val="20"/>
              </w:rPr>
            </w:pPr>
            <w:r w:rsidRPr="008B43F6">
              <w:rPr>
                <w:rFonts w:eastAsia="Times New Roman" w:cs="Calibri"/>
                <w:b/>
                <w:bCs/>
                <w:color w:val="FFFFFF"/>
                <w:sz w:val="20"/>
                <w:szCs w:val="20"/>
              </w:rPr>
              <w:t>Sub-categoría de beneficio no-energético</w:t>
            </w:r>
          </w:p>
        </w:tc>
        <w:tc>
          <w:tcPr>
            <w:tcW w:w="1636" w:type="dxa"/>
            <w:tcBorders>
              <w:top w:val="nil"/>
              <w:left w:val="nil"/>
              <w:bottom w:val="nil"/>
              <w:right w:val="single" w:sz="4" w:space="0" w:color="808080"/>
            </w:tcBorders>
            <w:shd w:val="clear" w:color="000000" w:fill="548DD4"/>
            <w:vAlign w:val="center"/>
            <w:hideMark/>
          </w:tcPr>
          <w:p w:rsidR="002C0CCF" w:rsidRPr="008B43F6" w:rsidRDefault="002C0CCF" w:rsidP="00C92E54">
            <w:pPr>
              <w:spacing w:after="0"/>
              <w:jc w:val="center"/>
              <w:rPr>
                <w:rFonts w:eastAsia="Times New Roman" w:cs="Calibri"/>
                <w:b/>
                <w:bCs/>
                <w:color w:val="FFFFFF"/>
                <w:sz w:val="20"/>
                <w:szCs w:val="20"/>
              </w:rPr>
            </w:pPr>
            <w:r w:rsidRPr="008B43F6">
              <w:rPr>
                <w:rFonts w:eastAsia="Times New Roman" w:cs="Calibri"/>
                <w:b/>
                <w:bCs/>
                <w:color w:val="FFFFFF"/>
                <w:sz w:val="20"/>
                <w:szCs w:val="20"/>
              </w:rPr>
              <w:t>Usuarios/dueños de los</w:t>
            </w:r>
          </w:p>
          <w:p w:rsidR="002C0CCF" w:rsidRPr="008B43F6" w:rsidRDefault="002C0CCF" w:rsidP="00C92E54">
            <w:pPr>
              <w:spacing w:after="0"/>
              <w:jc w:val="center"/>
              <w:rPr>
                <w:rFonts w:eastAsia="Times New Roman" w:cs="Calibri"/>
                <w:b/>
                <w:bCs/>
                <w:color w:val="FFFFFF"/>
                <w:sz w:val="20"/>
                <w:szCs w:val="20"/>
              </w:rPr>
            </w:pPr>
            <w:r w:rsidRPr="008B43F6">
              <w:rPr>
                <w:rFonts w:eastAsia="Times New Roman" w:cs="Calibri"/>
                <w:b/>
                <w:bCs/>
                <w:color w:val="FFFFFF"/>
                <w:sz w:val="20"/>
                <w:szCs w:val="20"/>
              </w:rPr>
              <w:t>hogares</w:t>
            </w:r>
          </w:p>
        </w:tc>
        <w:tc>
          <w:tcPr>
            <w:tcW w:w="951" w:type="dxa"/>
            <w:tcBorders>
              <w:top w:val="nil"/>
              <w:left w:val="nil"/>
              <w:bottom w:val="nil"/>
              <w:right w:val="single" w:sz="4" w:space="0" w:color="808080"/>
            </w:tcBorders>
            <w:shd w:val="clear" w:color="000000" w:fill="548DD4"/>
            <w:vAlign w:val="center"/>
            <w:hideMark/>
          </w:tcPr>
          <w:p w:rsidR="002C0CCF" w:rsidRPr="008B43F6" w:rsidRDefault="002C0CCF" w:rsidP="00C92E54">
            <w:pPr>
              <w:spacing w:after="0"/>
              <w:jc w:val="center"/>
              <w:rPr>
                <w:rFonts w:eastAsia="Times New Roman" w:cs="Calibri"/>
                <w:b/>
                <w:bCs/>
                <w:color w:val="FFFFFF"/>
                <w:sz w:val="20"/>
                <w:szCs w:val="20"/>
              </w:rPr>
            </w:pPr>
            <w:r w:rsidRPr="008B43F6">
              <w:rPr>
                <w:rFonts w:eastAsia="Times New Roman" w:cs="Calibri"/>
                <w:b/>
                <w:bCs/>
                <w:color w:val="FFFFFF"/>
                <w:sz w:val="20"/>
                <w:szCs w:val="20"/>
              </w:rPr>
              <w:t>La sociedad</w:t>
            </w:r>
          </w:p>
        </w:tc>
        <w:tc>
          <w:tcPr>
            <w:tcW w:w="1105" w:type="dxa"/>
            <w:tcBorders>
              <w:top w:val="nil"/>
              <w:left w:val="nil"/>
              <w:bottom w:val="nil"/>
              <w:right w:val="single" w:sz="4" w:space="0" w:color="808080"/>
            </w:tcBorders>
            <w:shd w:val="clear" w:color="000000" w:fill="548DD4"/>
            <w:vAlign w:val="center"/>
            <w:hideMark/>
          </w:tcPr>
          <w:p w:rsidR="002C0CCF" w:rsidRPr="008B43F6" w:rsidRDefault="002C0CCF" w:rsidP="00C92E54">
            <w:pPr>
              <w:spacing w:after="0"/>
              <w:jc w:val="center"/>
              <w:rPr>
                <w:rFonts w:eastAsia="Times New Roman" w:cs="Calibri"/>
                <w:b/>
                <w:bCs/>
                <w:color w:val="FFFFFF"/>
                <w:sz w:val="20"/>
                <w:szCs w:val="20"/>
              </w:rPr>
            </w:pPr>
            <w:r w:rsidRPr="008B43F6">
              <w:rPr>
                <w:rFonts w:eastAsia="Times New Roman" w:cs="Calibri"/>
                <w:b/>
                <w:bCs/>
                <w:color w:val="FFFFFF"/>
                <w:sz w:val="20"/>
                <w:szCs w:val="20"/>
              </w:rPr>
              <w:t>El gobierno</w:t>
            </w:r>
          </w:p>
        </w:tc>
        <w:tc>
          <w:tcPr>
            <w:tcW w:w="1054" w:type="dxa"/>
            <w:tcBorders>
              <w:top w:val="nil"/>
              <w:left w:val="nil"/>
              <w:bottom w:val="nil"/>
              <w:right w:val="single" w:sz="8" w:space="0" w:color="808080"/>
            </w:tcBorders>
            <w:shd w:val="clear" w:color="000000" w:fill="548DD4"/>
            <w:vAlign w:val="center"/>
            <w:hideMark/>
          </w:tcPr>
          <w:p w:rsidR="002C0CCF" w:rsidRPr="008B43F6" w:rsidRDefault="002C0CCF" w:rsidP="00C92E54">
            <w:pPr>
              <w:spacing w:after="0"/>
              <w:jc w:val="both"/>
              <w:rPr>
                <w:rFonts w:eastAsia="Times New Roman" w:cs="Calibri"/>
                <w:b/>
                <w:bCs/>
                <w:color w:val="FFFFFF"/>
                <w:sz w:val="20"/>
                <w:szCs w:val="20"/>
              </w:rPr>
            </w:pPr>
            <w:r w:rsidRPr="008B43F6">
              <w:rPr>
                <w:rFonts w:eastAsia="Times New Roman" w:cs="Calibri"/>
                <w:b/>
                <w:bCs/>
                <w:color w:val="FFFFFF"/>
                <w:sz w:val="20"/>
                <w:szCs w:val="20"/>
              </w:rPr>
              <w:t>Compañía energética</w:t>
            </w:r>
          </w:p>
        </w:tc>
      </w:tr>
      <w:tr w:rsidR="002C0CCF" w:rsidRPr="008B43F6" w:rsidTr="00F14047">
        <w:trPr>
          <w:trHeight w:val="315"/>
        </w:trPr>
        <w:tc>
          <w:tcPr>
            <w:tcW w:w="1268" w:type="dxa"/>
            <w:vMerge w:val="restart"/>
            <w:tcBorders>
              <w:top w:val="nil"/>
              <w:left w:val="single" w:sz="8" w:space="0" w:color="808080"/>
              <w:right w:val="single" w:sz="4" w:space="0" w:color="808080"/>
            </w:tcBorders>
            <w:shd w:val="clear" w:color="auto" w:fill="auto"/>
            <w:vAlign w:val="center"/>
          </w:tcPr>
          <w:p w:rsidR="002C0CCF" w:rsidRPr="008B43F6" w:rsidRDefault="002C0CCF" w:rsidP="00C92E54">
            <w:pPr>
              <w:spacing w:after="0"/>
              <w:rPr>
                <w:rFonts w:eastAsia="Times New Roman" w:cs="Calibri"/>
                <w:b/>
                <w:bCs/>
                <w:color w:val="FFFFFF"/>
                <w:sz w:val="20"/>
                <w:szCs w:val="20"/>
              </w:rPr>
            </w:pPr>
            <w:r w:rsidRPr="008B43F6">
              <w:rPr>
                <w:rFonts w:eastAsia="Times New Roman" w:cs="Calibri"/>
                <w:b/>
                <w:color w:val="000000"/>
                <w:sz w:val="20"/>
                <w:szCs w:val="20"/>
              </w:rPr>
              <w:t>Co-beneficios ambientales</w:t>
            </w:r>
          </w:p>
        </w:tc>
        <w:tc>
          <w:tcPr>
            <w:tcW w:w="3086" w:type="dxa"/>
            <w:tcBorders>
              <w:top w:val="nil"/>
              <w:left w:val="nil"/>
              <w:bottom w:val="single" w:sz="4" w:space="0" w:color="808080" w:themeColor="background1" w:themeShade="80"/>
              <w:right w:val="single" w:sz="4" w:space="0" w:color="808080"/>
            </w:tcBorders>
            <w:shd w:val="clear" w:color="auto" w:fill="auto"/>
            <w:vAlign w:val="center"/>
          </w:tcPr>
          <w:p w:rsidR="002C0CCF" w:rsidRPr="008B43F6" w:rsidRDefault="002C0CCF" w:rsidP="00C92E54">
            <w:pPr>
              <w:spacing w:after="0"/>
              <w:jc w:val="both"/>
              <w:rPr>
                <w:rFonts w:eastAsia="Times New Roman" w:cs="Calibri"/>
                <w:color w:val="000000"/>
                <w:sz w:val="20"/>
                <w:szCs w:val="20"/>
              </w:rPr>
            </w:pPr>
            <w:r w:rsidRPr="008B43F6">
              <w:rPr>
                <w:rFonts w:eastAsia="Times New Roman" w:cs="Calibri"/>
                <w:color w:val="000000"/>
                <w:sz w:val="20"/>
                <w:szCs w:val="20"/>
              </w:rPr>
              <w:t>Reducción del escombro producido por las construcciones y las demoliciones [2, 6].</w:t>
            </w:r>
          </w:p>
        </w:tc>
        <w:tc>
          <w:tcPr>
            <w:tcW w:w="1636" w:type="dxa"/>
            <w:tcBorders>
              <w:top w:val="nil"/>
              <w:left w:val="nil"/>
              <w:bottom w:val="single" w:sz="4" w:space="0" w:color="808080" w:themeColor="background1" w:themeShade="80"/>
              <w:right w:val="single" w:sz="4" w:space="0" w:color="808080"/>
            </w:tcBorders>
            <w:shd w:val="clear" w:color="auto" w:fill="auto"/>
            <w:vAlign w:val="center"/>
          </w:tcPr>
          <w:p w:rsidR="002C0CCF" w:rsidRPr="008B43F6" w:rsidRDefault="002C0CCF" w:rsidP="00C92E54">
            <w:pPr>
              <w:spacing w:after="0"/>
              <w:jc w:val="center"/>
              <w:rPr>
                <w:rFonts w:eastAsia="Times New Roman" w:cs="Calibri"/>
                <w:b/>
                <w:bCs/>
                <w:color w:val="FFFFFF"/>
                <w:sz w:val="20"/>
                <w:szCs w:val="20"/>
              </w:rPr>
            </w:pPr>
          </w:p>
        </w:tc>
        <w:tc>
          <w:tcPr>
            <w:tcW w:w="951" w:type="dxa"/>
            <w:tcBorders>
              <w:top w:val="nil"/>
              <w:left w:val="nil"/>
              <w:bottom w:val="single" w:sz="4" w:space="0" w:color="808080" w:themeColor="background1" w:themeShade="80"/>
              <w:right w:val="single" w:sz="4" w:space="0" w:color="808080"/>
            </w:tcBorders>
            <w:shd w:val="clear" w:color="auto" w:fill="auto"/>
            <w:vAlign w:val="center"/>
          </w:tcPr>
          <w:p w:rsidR="002C0CCF" w:rsidRPr="008B43F6" w:rsidRDefault="002C0CCF" w:rsidP="00C92E54">
            <w:pPr>
              <w:spacing w:after="0"/>
              <w:jc w:val="center"/>
              <w:rPr>
                <w:rFonts w:eastAsia="Times New Roman" w:cs="Calibri"/>
                <w:b/>
                <w:bCs/>
                <w:color w:val="FFFFFF"/>
                <w:sz w:val="20"/>
                <w:szCs w:val="20"/>
              </w:rPr>
            </w:pPr>
          </w:p>
        </w:tc>
        <w:tc>
          <w:tcPr>
            <w:tcW w:w="1105" w:type="dxa"/>
            <w:tcBorders>
              <w:top w:val="nil"/>
              <w:left w:val="nil"/>
              <w:bottom w:val="single" w:sz="4" w:space="0" w:color="808080" w:themeColor="background1" w:themeShade="80"/>
              <w:right w:val="single" w:sz="4" w:space="0" w:color="808080"/>
            </w:tcBorders>
            <w:shd w:val="clear" w:color="auto" w:fill="auto"/>
            <w:vAlign w:val="center"/>
          </w:tcPr>
          <w:p w:rsidR="002C0CCF" w:rsidRPr="008B43F6" w:rsidRDefault="002C0CCF" w:rsidP="00C92E54">
            <w:pPr>
              <w:spacing w:after="0"/>
              <w:jc w:val="center"/>
              <w:rPr>
                <w:rFonts w:eastAsia="Times New Roman" w:cs="Calibri"/>
                <w:b/>
                <w:bCs/>
                <w:color w:val="FFFFFF"/>
                <w:sz w:val="20"/>
                <w:szCs w:val="20"/>
              </w:rPr>
            </w:pPr>
            <w:r w:rsidRPr="008B43F6">
              <w:rPr>
                <w:rFonts w:eastAsia="Times New Roman" w:cs="Calibri"/>
                <w:color w:val="000000"/>
                <w:sz w:val="20"/>
                <w:szCs w:val="20"/>
              </w:rPr>
              <w:sym w:font="Symbol" w:char="F0B7"/>
            </w:r>
          </w:p>
        </w:tc>
        <w:tc>
          <w:tcPr>
            <w:tcW w:w="1054" w:type="dxa"/>
            <w:tcBorders>
              <w:top w:val="nil"/>
              <w:left w:val="nil"/>
              <w:bottom w:val="single" w:sz="4" w:space="0" w:color="808080" w:themeColor="background1" w:themeShade="80"/>
              <w:right w:val="single" w:sz="8" w:space="0" w:color="808080"/>
            </w:tcBorders>
            <w:shd w:val="clear" w:color="auto" w:fill="auto"/>
            <w:vAlign w:val="center"/>
          </w:tcPr>
          <w:p w:rsidR="002C0CCF" w:rsidRPr="008B43F6" w:rsidRDefault="002C0CCF" w:rsidP="00C92E54">
            <w:pPr>
              <w:spacing w:after="0"/>
              <w:jc w:val="center"/>
              <w:rPr>
                <w:rFonts w:eastAsia="Times New Roman" w:cs="Calibri"/>
                <w:b/>
                <w:bCs/>
                <w:color w:val="FFFFFF"/>
                <w:sz w:val="20"/>
                <w:szCs w:val="20"/>
              </w:rPr>
            </w:pPr>
          </w:p>
        </w:tc>
      </w:tr>
      <w:tr w:rsidR="002C0CCF" w:rsidRPr="008B43F6" w:rsidTr="00F14047">
        <w:trPr>
          <w:trHeight w:val="315"/>
        </w:trPr>
        <w:tc>
          <w:tcPr>
            <w:tcW w:w="1268" w:type="dxa"/>
            <w:vMerge/>
            <w:tcBorders>
              <w:left w:val="single" w:sz="8" w:space="0" w:color="808080"/>
              <w:right w:val="single" w:sz="4" w:space="0" w:color="808080"/>
            </w:tcBorders>
            <w:shd w:val="clear" w:color="auto" w:fill="auto"/>
            <w:vAlign w:val="center"/>
          </w:tcPr>
          <w:p w:rsidR="002C0CCF" w:rsidRPr="008B43F6" w:rsidRDefault="002C0CCF" w:rsidP="00C92E54">
            <w:pPr>
              <w:spacing w:after="0"/>
              <w:jc w:val="center"/>
              <w:rPr>
                <w:rFonts w:eastAsia="Times New Roman" w:cs="Calibri"/>
                <w:b/>
                <w:bCs/>
                <w:color w:val="FFFFFF"/>
                <w:sz w:val="20"/>
                <w:szCs w:val="20"/>
              </w:rPr>
            </w:pPr>
          </w:p>
        </w:tc>
        <w:tc>
          <w:tcPr>
            <w:tcW w:w="3086" w:type="dxa"/>
            <w:tcBorders>
              <w:top w:val="nil"/>
              <w:left w:val="nil"/>
              <w:bottom w:val="single" w:sz="4" w:space="0" w:color="808080" w:themeColor="background1" w:themeShade="80"/>
              <w:right w:val="single" w:sz="4" w:space="0" w:color="808080"/>
            </w:tcBorders>
            <w:shd w:val="clear" w:color="auto" w:fill="auto"/>
            <w:vAlign w:val="center"/>
          </w:tcPr>
          <w:p w:rsidR="002C0CCF" w:rsidRPr="008B43F6" w:rsidRDefault="002C0CCF" w:rsidP="00C92E54">
            <w:pPr>
              <w:spacing w:after="0"/>
              <w:jc w:val="both"/>
              <w:rPr>
                <w:rFonts w:eastAsia="Times New Roman" w:cs="Calibri"/>
                <w:color w:val="000000"/>
                <w:sz w:val="20"/>
                <w:szCs w:val="20"/>
              </w:rPr>
            </w:pPr>
            <w:r w:rsidRPr="008B43F6">
              <w:rPr>
                <w:rFonts w:eastAsia="Times New Roman" w:cs="Calibri"/>
                <w:color w:val="000000"/>
                <w:sz w:val="20"/>
                <w:szCs w:val="20"/>
              </w:rPr>
              <w:t>Aumento en la vegetación urbana [2].</w:t>
            </w:r>
          </w:p>
        </w:tc>
        <w:tc>
          <w:tcPr>
            <w:tcW w:w="1636" w:type="dxa"/>
            <w:tcBorders>
              <w:top w:val="nil"/>
              <w:left w:val="nil"/>
              <w:bottom w:val="single" w:sz="4" w:space="0" w:color="808080" w:themeColor="background1" w:themeShade="80"/>
              <w:right w:val="single" w:sz="4" w:space="0" w:color="808080"/>
            </w:tcBorders>
            <w:shd w:val="clear" w:color="auto" w:fill="auto"/>
            <w:vAlign w:val="center"/>
          </w:tcPr>
          <w:p w:rsidR="002C0CCF" w:rsidRPr="008B43F6" w:rsidRDefault="002C0CCF" w:rsidP="00C92E54">
            <w:pPr>
              <w:spacing w:after="0"/>
              <w:jc w:val="center"/>
              <w:rPr>
                <w:rFonts w:eastAsia="Times New Roman" w:cs="Calibri"/>
                <w:b/>
                <w:bCs/>
                <w:color w:val="FFFFFF"/>
                <w:sz w:val="20"/>
                <w:szCs w:val="20"/>
              </w:rPr>
            </w:pPr>
          </w:p>
        </w:tc>
        <w:tc>
          <w:tcPr>
            <w:tcW w:w="951" w:type="dxa"/>
            <w:tcBorders>
              <w:top w:val="nil"/>
              <w:left w:val="nil"/>
              <w:bottom w:val="single" w:sz="4" w:space="0" w:color="808080" w:themeColor="background1" w:themeShade="80"/>
              <w:right w:val="single" w:sz="4" w:space="0" w:color="808080"/>
            </w:tcBorders>
            <w:shd w:val="clear" w:color="auto" w:fill="auto"/>
            <w:vAlign w:val="center"/>
          </w:tcPr>
          <w:p w:rsidR="002C0CCF" w:rsidRPr="008B43F6" w:rsidRDefault="002C0CCF" w:rsidP="00C92E54">
            <w:pPr>
              <w:spacing w:after="0"/>
              <w:jc w:val="center"/>
              <w:rPr>
                <w:rFonts w:eastAsia="Times New Roman" w:cs="Calibri"/>
                <w:b/>
                <w:bCs/>
                <w:color w:val="FFFFFF"/>
                <w:sz w:val="20"/>
                <w:szCs w:val="20"/>
              </w:rPr>
            </w:pPr>
            <w:r w:rsidRPr="008B43F6">
              <w:rPr>
                <w:rFonts w:eastAsia="Times New Roman" w:cs="Calibri"/>
                <w:color w:val="000000"/>
                <w:sz w:val="20"/>
                <w:szCs w:val="20"/>
              </w:rPr>
              <w:sym w:font="Symbol" w:char="F0B7"/>
            </w:r>
          </w:p>
        </w:tc>
        <w:tc>
          <w:tcPr>
            <w:tcW w:w="1105" w:type="dxa"/>
            <w:tcBorders>
              <w:top w:val="nil"/>
              <w:left w:val="nil"/>
              <w:bottom w:val="single" w:sz="4" w:space="0" w:color="808080" w:themeColor="background1" w:themeShade="80"/>
              <w:right w:val="single" w:sz="4" w:space="0" w:color="808080"/>
            </w:tcBorders>
            <w:shd w:val="clear" w:color="auto" w:fill="auto"/>
            <w:vAlign w:val="center"/>
          </w:tcPr>
          <w:p w:rsidR="002C0CCF" w:rsidRPr="008B43F6" w:rsidRDefault="002C0CCF" w:rsidP="00C92E54">
            <w:pPr>
              <w:spacing w:after="0"/>
              <w:jc w:val="center"/>
              <w:rPr>
                <w:rFonts w:eastAsia="Times New Roman" w:cs="Calibri"/>
                <w:b/>
                <w:bCs/>
                <w:color w:val="FFFFFF"/>
                <w:sz w:val="20"/>
                <w:szCs w:val="20"/>
              </w:rPr>
            </w:pPr>
          </w:p>
        </w:tc>
        <w:tc>
          <w:tcPr>
            <w:tcW w:w="1054" w:type="dxa"/>
            <w:tcBorders>
              <w:top w:val="nil"/>
              <w:left w:val="nil"/>
              <w:bottom w:val="single" w:sz="4" w:space="0" w:color="808080" w:themeColor="background1" w:themeShade="80"/>
              <w:right w:val="single" w:sz="8" w:space="0" w:color="808080"/>
            </w:tcBorders>
            <w:shd w:val="clear" w:color="auto" w:fill="auto"/>
            <w:vAlign w:val="center"/>
          </w:tcPr>
          <w:p w:rsidR="002C0CCF" w:rsidRPr="008B43F6" w:rsidRDefault="002C0CCF" w:rsidP="00C92E54">
            <w:pPr>
              <w:spacing w:after="0"/>
              <w:jc w:val="center"/>
              <w:rPr>
                <w:rFonts w:eastAsia="Times New Roman" w:cs="Calibri"/>
                <w:b/>
                <w:bCs/>
                <w:color w:val="FFFFFF"/>
                <w:sz w:val="20"/>
                <w:szCs w:val="20"/>
              </w:rPr>
            </w:pPr>
          </w:p>
        </w:tc>
      </w:tr>
      <w:tr w:rsidR="002C0CCF" w:rsidRPr="008B43F6" w:rsidTr="00F14047">
        <w:trPr>
          <w:trHeight w:val="315"/>
        </w:trPr>
        <w:tc>
          <w:tcPr>
            <w:tcW w:w="1268" w:type="dxa"/>
            <w:vMerge/>
            <w:tcBorders>
              <w:left w:val="single" w:sz="8" w:space="0" w:color="808080"/>
              <w:right w:val="single" w:sz="4" w:space="0" w:color="808080"/>
            </w:tcBorders>
            <w:shd w:val="clear" w:color="auto" w:fill="auto"/>
            <w:vAlign w:val="center"/>
          </w:tcPr>
          <w:p w:rsidR="002C0CCF" w:rsidRPr="008B43F6" w:rsidRDefault="002C0CCF" w:rsidP="00C92E54">
            <w:pPr>
              <w:spacing w:after="0"/>
              <w:jc w:val="center"/>
              <w:rPr>
                <w:rFonts w:eastAsia="Times New Roman" w:cs="Calibri"/>
                <w:b/>
                <w:color w:val="000000"/>
                <w:sz w:val="20"/>
                <w:szCs w:val="20"/>
              </w:rPr>
            </w:pPr>
          </w:p>
        </w:tc>
        <w:tc>
          <w:tcPr>
            <w:tcW w:w="3086" w:type="dxa"/>
            <w:tcBorders>
              <w:top w:val="nil"/>
              <w:left w:val="nil"/>
              <w:bottom w:val="single" w:sz="4" w:space="0" w:color="808080" w:themeColor="background1" w:themeShade="80"/>
              <w:right w:val="single" w:sz="4" w:space="0" w:color="808080"/>
            </w:tcBorders>
            <w:shd w:val="clear" w:color="auto" w:fill="auto"/>
            <w:vAlign w:val="center"/>
          </w:tcPr>
          <w:p w:rsidR="002C0CCF" w:rsidRPr="008B43F6" w:rsidRDefault="002C0CCF" w:rsidP="00251C87">
            <w:pPr>
              <w:spacing w:after="0"/>
              <w:rPr>
                <w:rFonts w:eastAsia="Times New Roman" w:cs="Calibri"/>
                <w:color w:val="000000"/>
                <w:sz w:val="20"/>
                <w:szCs w:val="20"/>
              </w:rPr>
            </w:pPr>
            <w:r w:rsidRPr="008B43F6">
              <w:rPr>
                <w:rFonts w:eastAsia="Times New Roman" w:cs="Calibri"/>
                <w:color w:val="000000"/>
                <w:sz w:val="20"/>
                <w:szCs w:val="20"/>
              </w:rPr>
              <w:t xml:space="preserve">Reducción de los impactos del calentamiento global </w:t>
            </w:r>
            <w:r w:rsidRPr="008B43F6">
              <w:rPr>
                <w:rFonts w:eastAsia="Times New Roman" w:cs="Calibri"/>
                <w:color w:val="000000"/>
                <w:sz w:val="20"/>
                <w:szCs w:val="20"/>
              </w:rPr>
              <w:fldChar w:fldCharType="begin"/>
            </w:r>
            <w:r w:rsidR="00251C87">
              <w:rPr>
                <w:rFonts w:eastAsia="Times New Roman" w:cs="Calibri"/>
                <w:color w:val="000000"/>
                <w:sz w:val="20"/>
                <w:szCs w:val="20"/>
              </w:rPr>
              <w:instrText xml:space="preserve"> ADDIN EN.CITE &lt;EndNote&gt;&lt;Cite&gt;&lt;Author&gt;Wilson&lt;/Author&gt;&lt;Year&gt;2005&lt;/Year&gt;&lt;RecNum&gt;29&lt;/RecNum&gt;&lt;DisplayText&gt;[37]&lt;/DisplayText&gt;&lt;record&gt;&lt;rec-number&gt;29&lt;/rec-number&gt;&lt;foreign-keys&gt;&lt;key app="EN" db-id="w0w9edzzlxxfdgesvf359ft8wzxverspwaav"&gt;29&lt;/key&gt;&lt;/foreign-keys&gt;&lt;ref-type name="Newspaper Article"&gt;23&lt;/ref-type&gt;&lt;contributors&gt;&lt;authors&gt;&lt;author&gt;Alex Wilson &lt;/author&gt;&lt;/authors&gt;&lt;/contributors&gt;&lt;titles&gt;&lt;title&gt;Making the Case for Green Building &lt;/title&gt;&lt;secondary-title&gt;Environmental Building News&lt;/secondary-title&gt;&lt;/titles&gt;&lt;dates&gt;&lt;year&gt;2005&lt;/year&gt;&lt;pub-dates&gt;&lt;date&gt;April 1, 2005&lt;/date&gt;&lt;/pub-dates&gt;&lt;/dates&gt;&lt;work-type&gt;Feature&lt;/work-type&gt;&lt;urls&gt;&lt;/urls&gt;&lt;/record&gt;&lt;/Cite&gt;&lt;/EndNote&gt;</w:instrText>
            </w:r>
            <w:r w:rsidRPr="008B43F6">
              <w:rPr>
                <w:rFonts w:eastAsia="Times New Roman" w:cs="Calibri"/>
                <w:color w:val="000000"/>
                <w:sz w:val="20"/>
                <w:szCs w:val="20"/>
              </w:rPr>
              <w:fldChar w:fldCharType="separate"/>
            </w:r>
            <w:r w:rsidR="00251C87">
              <w:rPr>
                <w:rFonts w:eastAsia="Times New Roman" w:cs="Calibri"/>
                <w:noProof/>
                <w:color w:val="000000"/>
                <w:sz w:val="20"/>
                <w:szCs w:val="20"/>
              </w:rPr>
              <w:t>[</w:t>
            </w:r>
            <w:hyperlink w:anchor="_ENREF_37" w:tooltip="Wilson, 2005 #29" w:history="1">
              <w:r w:rsidR="00251C87">
                <w:rPr>
                  <w:rFonts w:eastAsia="Times New Roman" w:cs="Calibri"/>
                  <w:noProof/>
                  <w:color w:val="000000"/>
                  <w:sz w:val="20"/>
                  <w:szCs w:val="20"/>
                </w:rPr>
                <w:t>37</w:t>
              </w:r>
            </w:hyperlink>
            <w:r w:rsidR="00251C87">
              <w:rPr>
                <w:rFonts w:eastAsia="Times New Roman" w:cs="Calibri"/>
                <w:noProof/>
                <w:color w:val="000000"/>
                <w:sz w:val="20"/>
                <w:szCs w:val="20"/>
              </w:rPr>
              <w:t>]</w:t>
            </w:r>
            <w:r w:rsidRPr="008B43F6">
              <w:rPr>
                <w:rFonts w:eastAsia="Times New Roman" w:cs="Calibri"/>
                <w:color w:val="000000"/>
                <w:sz w:val="20"/>
                <w:szCs w:val="20"/>
              </w:rPr>
              <w:fldChar w:fldCharType="end"/>
            </w:r>
            <w:r w:rsidRPr="008B43F6">
              <w:rPr>
                <w:rFonts w:eastAsia="Times New Roman" w:cs="Calibri"/>
                <w:color w:val="000000"/>
                <w:sz w:val="20"/>
                <w:szCs w:val="20"/>
              </w:rPr>
              <w:t>.</w:t>
            </w:r>
          </w:p>
        </w:tc>
        <w:tc>
          <w:tcPr>
            <w:tcW w:w="1636" w:type="dxa"/>
            <w:tcBorders>
              <w:top w:val="nil"/>
              <w:left w:val="nil"/>
              <w:bottom w:val="single" w:sz="4" w:space="0" w:color="808080" w:themeColor="background1" w:themeShade="80"/>
              <w:right w:val="single" w:sz="4" w:space="0" w:color="808080"/>
            </w:tcBorders>
            <w:shd w:val="clear" w:color="auto" w:fill="auto"/>
            <w:vAlign w:val="center"/>
          </w:tcPr>
          <w:p w:rsidR="002C0CCF" w:rsidRPr="008B43F6" w:rsidRDefault="002C0CCF" w:rsidP="00C92E54">
            <w:pPr>
              <w:spacing w:after="0"/>
              <w:jc w:val="center"/>
              <w:rPr>
                <w:rFonts w:eastAsia="Times New Roman" w:cs="Calibri"/>
                <w:color w:val="000000"/>
                <w:sz w:val="20"/>
                <w:szCs w:val="20"/>
              </w:rPr>
            </w:pPr>
          </w:p>
        </w:tc>
        <w:tc>
          <w:tcPr>
            <w:tcW w:w="951" w:type="dxa"/>
            <w:tcBorders>
              <w:top w:val="nil"/>
              <w:left w:val="nil"/>
              <w:bottom w:val="single" w:sz="4" w:space="0" w:color="808080" w:themeColor="background1" w:themeShade="80"/>
              <w:right w:val="single" w:sz="4" w:space="0" w:color="808080"/>
            </w:tcBorders>
            <w:shd w:val="clear" w:color="auto" w:fill="auto"/>
            <w:vAlign w:val="center"/>
          </w:tcPr>
          <w:p w:rsidR="002C0CCF" w:rsidRPr="008B43F6" w:rsidRDefault="002C0CCF" w:rsidP="00C92E54">
            <w:pPr>
              <w:spacing w:after="0"/>
              <w:jc w:val="center"/>
              <w:rPr>
                <w:rFonts w:eastAsia="Times New Roman" w:cs="Calibri"/>
                <w:color w:val="000000"/>
                <w:sz w:val="20"/>
                <w:szCs w:val="20"/>
              </w:rPr>
            </w:pPr>
            <w:r w:rsidRPr="008B43F6">
              <w:rPr>
                <w:rFonts w:eastAsia="Times New Roman" w:cs="Calibri"/>
                <w:color w:val="000000"/>
                <w:sz w:val="20"/>
                <w:szCs w:val="20"/>
              </w:rPr>
              <w:sym w:font="Symbol" w:char="F0B7"/>
            </w:r>
          </w:p>
        </w:tc>
        <w:tc>
          <w:tcPr>
            <w:tcW w:w="1105" w:type="dxa"/>
            <w:tcBorders>
              <w:top w:val="nil"/>
              <w:left w:val="nil"/>
              <w:bottom w:val="single" w:sz="4" w:space="0" w:color="808080" w:themeColor="background1" w:themeShade="80"/>
              <w:right w:val="single" w:sz="4" w:space="0" w:color="808080"/>
            </w:tcBorders>
            <w:shd w:val="clear" w:color="auto" w:fill="auto"/>
            <w:vAlign w:val="center"/>
          </w:tcPr>
          <w:p w:rsidR="002C0CCF" w:rsidRPr="008B43F6" w:rsidRDefault="002C0CCF" w:rsidP="00C92E54">
            <w:pPr>
              <w:spacing w:after="0"/>
              <w:jc w:val="center"/>
              <w:rPr>
                <w:rFonts w:eastAsia="Times New Roman" w:cs="Calibri"/>
                <w:color w:val="000000"/>
                <w:sz w:val="20"/>
                <w:szCs w:val="20"/>
              </w:rPr>
            </w:pPr>
          </w:p>
        </w:tc>
        <w:tc>
          <w:tcPr>
            <w:tcW w:w="1054" w:type="dxa"/>
            <w:tcBorders>
              <w:top w:val="nil"/>
              <w:left w:val="nil"/>
              <w:bottom w:val="single" w:sz="4" w:space="0" w:color="808080" w:themeColor="background1" w:themeShade="80"/>
              <w:right w:val="single" w:sz="8" w:space="0" w:color="808080"/>
            </w:tcBorders>
            <w:shd w:val="clear" w:color="auto" w:fill="auto"/>
            <w:vAlign w:val="center"/>
          </w:tcPr>
          <w:p w:rsidR="002C0CCF" w:rsidRPr="008B43F6" w:rsidRDefault="002C0CCF" w:rsidP="00C92E54">
            <w:pPr>
              <w:spacing w:after="0"/>
              <w:jc w:val="center"/>
              <w:rPr>
                <w:rFonts w:eastAsia="Times New Roman" w:cs="Calibri"/>
                <w:color w:val="000000"/>
                <w:sz w:val="20"/>
                <w:szCs w:val="20"/>
              </w:rPr>
            </w:pPr>
          </w:p>
        </w:tc>
      </w:tr>
      <w:tr w:rsidR="002C0CCF" w:rsidRPr="008B43F6" w:rsidTr="00F14047">
        <w:trPr>
          <w:trHeight w:val="315"/>
        </w:trPr>
        <w:tc>
          <w:tcPr>
            <w:tcW w:w="1268" w:type="dxa"/>
            <w:vMerge/>
            <w:tcBorders>
              <w:left w:val="single" w:sz="8" w:space="0" w:color="808080"/>
              <w:right w:val="single" w:sz="4" w:space="0" w:color="808080"/>
            </w:tcBorders>
            <w:shd w:val="clear" w:color="auto" w:fill="auto"/>
            <w:vAlign w:val="center"/>
          </w:tcPr>
          <w:p w:rsidR="002C0CCF" w:rsidRPr="008B43F6" w:rsidRDefault="002C0CCF" w:rsidP="00C92E54">
            <w:pPr>
              <w:spacing w:after="0"/>
              <w:rPr>
                <w:rFonts w:eastAsia="Times New Roman" w:cs="Calibri"/>
                <w:b/>
                <w:color w:val="000000"/>
                <w:sz w:val="20"/>
                <w:szCs w:val="20"/>
              </w:rPr>
            </w:pPr>
          </w:p>
        </w:tc>
        <w:tc>
          <w:tcPr>
            <w:tcW w:w="3086" w:type="dxa"/>
            <w:tcBorders>
              <w:top w:val="nil"/>
              <w:left w:val="nil"/>
              <w:bottom w:val="single" w:sz="4" w:space="0" w:color="808080" w:themeColor="background1" w:themeShade="80"/>
              <w:right w:val="single" w:sz="4" w:space="0" w:color="808080"/>
            </w:tcBorders>
            <w:shd w:val="clear" w:color="auto" w:fill="auto"/>
            <w:vAlign w:val="center"/>
          </w:tcPr>
          <w:p w:rsidR="002C0CCF" w:rsidRPr="008B43F6" w:rsidRDefault="002C0CCF" w:rsidP="00251C87">
            <w:pPr>
              <w:spacing w:after="0"/>
              <w:rPr>
                <w:rFonts w:eastAsia="Times New Roman" w:cs="Calibri"/>
                <w:color w:val="000000"/>
                <w:sz w:val="20"/>
                <w:szCs w:val="20"/>
              </w:rPr>
            </w:pPr>
            <w:r w:rsidRPr="008B43F6">
              <w:rPr>
                <w:rFonts w:eastAsia="Times New Roman" w:cs="Calibri"/>
                <w:color w:val="000000"/>
                <w:sz w:val="20"/>
                <w:szCs w:val="20"/>
              </w:rPr>
              <w:t xml:space="preserve">Minimización del agotamiento de la capa de ozono </w:t>
            </w:r>
            <w:r w:rsidRPr="008B43F6">
              <w:rPr>
                <w:rFonts w:eastAsia="Times New Roman" w:cs="Calibri"/>
                <w:color w:val="000000"/>
                <w:sz w:val="20"/>
                <w:szCs w:val="20"/>
              </w:rPr>
              <w:fldChar w:fldCharType="begin"/>
            </w:r>
            <w:r w:rsidR="00251C87">
              <w:rPr>
                <w:rFonts w:eastAsia="Times New Roman" w:cs="Calibri"/>
                <w:color w:val="000000"/>
                <w:sz w:val="20"/>
                <w:szCs w:val="20"/>
              </w:rPr>
              <w:instrText xml:space="preserve"> ADDIN EN.CITE &lt;EndNote&gt;&lt;Cite&gt;&lt;Author&gt;Wilson&lt;/Author&gt;&lt;Year&gt;2005&lt;/Year&gt;&lt;RecNum&gt;29&lt;/RecNum&gt;&lt;DisplayText&gt;[37]&lt;/DisplayText&gt;&lt;record&gt;&lt;rec-number&gt;29&lt;/rec-number&gt;&lt;foreign-keys&gt;&lt;key app="EN" db-id="w0w9edzzlxxfdgesvf359ft8wzxverspwaav"&gt;29&lt;/key&gt;&lt;/foreign-keys&gt;&lt;ref-type name="Newspaper Article"&gt;23&lt;/ref-type&gt;&lt;contributors&gt;&lt;authors&gt;&lt;author&gt;Alex Wilson &lt;/author&gt;&lt;/authors&gt;&lt;/contributors&gt;&lt;titles&gt;&lt;title&gt;Making the Case for Green Building &lt;/title&gt;&lt;secondary-title&gt;Environmental Building News&lt;/secondary-title&gt;&lt;/titles&gt;&lt;dates&gt;&lt;year&gt;2005&lt;/year&gt;&lt;pub-dates&gt;&lt;date&gt;April 1, 2005&lt;/date&gt;&lt;/pub-dates&gt;&lt;/dates&gt;&lt;work-type&gt;Feature&lt;/work-type&gt;&lt;urls&gt;&lt;/urls&gt;&lt;/record&gt;&lt;/Cite&gt;&lt;/EndNote&gt;</w:instrText>
            </w:r>
            <w:r w:rsidRPr="008B43F6">
              <w:rPr>
                <w:rFonts w:eastAsia="Times New Roman" w:cs="Calibri"/>
                <w:color w:val="000000"/>
                <w:sz w:val="20"/>
                <w:szCs w:val="20"/>
              </w:rPr>
              <w:fldChar w:fldCharType="separate"/>
            </w:r>
            <w:r w:rsidR="00251C87">
              <w:rPr>
                <w:rFonts w:eastAsia="Times New Roman" w:cs="Calibri"/>
                <w:noProof/>
                <w:color w:val="000000"/>
                <w:sz w:val="20"/>
                <w:szCs w:val="20"/>
              </w:rPr>
              <w:t>[</w:t>
            </w:r>
            <w:hyperlink w:anchor="_ENREF_37" w:tooltip="Wilson, 2005 #29" w:history="1">
              <w:r w:rsidR="00251C87">
                <w:rPr>
                  <w:rFonts w:eastAsia="Times New Roman" w:cs="Calibri"/>
                  <w:noProof/>
                  <w:color w:val="000000"/>
                  <w:sz w:val="20"/>
                  <w:szCs w:val="20"/>
                </w:rPr>
                <w:t>37</w:t>
              </w:r>
            </w:hyperlink>
            <w:r w:rsidR="00251C87">
              <w:rPr>
                <w:rFonts w:eastAsia="Times New Roman" w:cs="Calibri"/>
                <w:noProof/>
                <w:color w:val="000000"/>
                <w:sz w:val="20"/>
                <w:szCs w:val="20"/>
              </w:rPr>
              <w:t>]</w:t>
            </w:r>
            <w:r w:rsidRPr="008B43F6">
              <w:rPr>
                <w:rFonts w:eastAsia="Times New Roman" w:cs="Calibri"/>
                <w:color w:val="000000"/>
                <w:sz w:val="20"/>
                <w:szCs w:val="20"/>
              </w:rPr>
              <w:fldChar w:fldCharType="end"/>
            </w:r>
            <w:r w:rsidRPr="008B43F6">
              <w:rPr>
                <w:rFonts w:eastAsia="Times New Roman" w:cs="Calibri"/>
                <w:color w:val="000000"/>
                <w:sz w:val="20"/>
                <w:szCs w:val="20"/>
              </w:rPr>
              <w:t>.</w:t>
            </w:r>
          </w:p>
        </w:tc>
        <w:tc>
          <w:tcPr>
            <w:tcW w:w="1636" w:type="dxa"/>
            <w:tcBorders>
              <w:top w:val="nil"/>
              <w:left w:val="nil"/>
              <w:bottom w:val="single" w:sz="4" w:space="0" w:color="808080" w:themeColor="background1" w:themeShade="80"/>
              <w:right w:val="single" w:sz="4" w:space="0" w:color="808080"/>
            </w:tcBorders>
            <w:shd w:val="clear" w:color="auto" w:fill="auto"/>
            <w:vAlign w:val="center"/>
          </w:tcPr>
          <w:p w:rsidR="002C0CCF" w:rsidRPr="008B43F6" w:rsidRDefault="002C0CCF" w:rsidP="00C92E54">
            <w:pPr>
              <w:spacing w:after="0"/>
              <w:jc w:val="center"/>
              <w:rPr>
                <w:rFonts w:eastAsia="Times New Roman" w:cs="Calibri"/>
                <w:color w:val="000000"/>
                <w:sz w:val="20"/>
                <w:szCs w:val="20"/>
              </w:rPr>
            </w:pPr>
          </w:p>
        </w:tc>
        <w:tc>
          <w:tcPr>
            <w:tcW w:w="951" w:type="dxa"/>
            <w:tcBorders>
              <w:top w:val="nil"/>
              <w:left w:val="nil"/>
              <w:bottom w:val="single" w:sz="4" w:space="0" w:color="808080" w:themeColor="background1" w:themeShade="80"/>
              <w:right w:val="single" w:sz="4" w:space="0" w:color="808080"/>
            </w:tcBorders>
            <w:shd w:val="clear" w:color="auto" w:fill="auto"/>
            <w:vAlign w:val="center"/>
          </w:tcPr>
          <w:p w:rsidR="002C0CCF" w:rsidRPr="008B43F6" w:rsidRDefault="002C0CCF" w:rsidP="00C92E54">
            <w:pPr>
              <w:spacing w:after="0"/>
              <w:jc w:val="center"/>
              <w:rPr>
                <w:rFonts w:eastAsia="Times New Roman" w:cs="Calibri"/>
                <w:color w:val="000000"/>
                <w:sz w:val="20"/>
                <w:szCs w:val="20"/>
              </w:rPr>
            </w:pPr>
            <w:r w:rsidRPr="008B43F6">
              <w:rPr>
                <w:rFonts w:eastAsia="Times New Roman" w:cs="Calibri"/>
                <w:color w:val="000000"/>
                <w:sz w:val="20"/>
                <w:szCs w:val="20"/>
              </w:rPr>
              <w:sym w:font="Symbol" w:char="F0B7"/>
            </w:r>
          </w:p>
        </w:tc>
        <w:tc>
          <w:tcPr>
            <w:tcW w:w="1105" w:type="dxa"/>
            <w:tcBorders>
              <w:top w:val="nil"/>
              <w:left w:val="nil"/>
              <w:bottom w:val="single" w:sz="4" w:space="0" w:color="808080" w:themeColor="background1" w:themeShade="80"/>
              <w:right w:val="single" w:sz="4" w:space="0" w:color="808080"/>
            </w:tcBorders>
            <w:shd w:val="clear" w:color="auto" w:fill="auto"/>
            <w:vAlign w:val="center"/>
          </w:tcPr>
          <w:p w:rsidR="002C0CCF" w:rsidRPr="008B43F6" w:rsidRDefault="002C0CCF" w:rsidP="00C92E54">
            <w:pPr>
              <w:spacing w:after="0"/>
              <w:jc w:val="center"/>
              <w:rPr>
                <w:rFonts w:eastAsia="Times New Roman" w:cs="Calibri"/>
                <w:color w:val="000000"/>
                <w:sz w:val="20"/>
                <w:szCs w:val="20"/>
              </w:rPr>
            </w:pPr>
          </w:p>
        </w:tc>
        <w:tc>
          <w:tcPr>
            <w:tcW w:w="1054" w:type="dxa"/>
            <w:tcBorders>
              <w:top w:val="nil"/>
              <w:left w:val="nil"/>
              <w:bottom w:val="single" w:sz="4" w:space="0" w:color="808080" w:themeColor="background1" w:themeShade="80"/>
              <w:right w:val="single" w:sz="8" w:space="0" w:color="808080"/>
            </w:tcBorders>
            <w:shd w:val="clear" w:color="auto" w:fill="auto"/>
            <w:vAlign w:val="center"/>
          </w:tcPr>
          <w:p w:rsidR="002C0CCF" w:rsidRPr="008B43F6" w:rsidRDefault="002C0CCF" w:rsidP="00C92E54">
            <w:pPr>
              <w:spacing w:after="0"/>
              <w:jc w:val="center"/>
              <w:rPr>
                <w:rFonts w:eastAsia="Times New Roman" w:cs="Calibri"/>
                <w:color w:val="000000"/>
                <w:sz w:val="20"/>
                <w:szCs w:val="20"/>
              </w:rPr>
            </w:pPr>
          </w:p>
        </w:tc>
      </w:tr>
      <w:tr w:rsidR="002C0CCF" w:rsidRPr="008B43F6" w:rsidTr="00F14047">
        <w:trPr>
          <w:trHeight w:val="315"/>
        </w:trPr>
        <w:tc>
          <w:tcPr>
            <w:tcW w:w="1268" w:type="dxa"/>
            <w:vMerge/>
            <w:tcBorders>
              <w:left w:val="single" w:sz="8" w:space="0" w:color="808080"/>
              <w:bottom w:val="single" w:sz="4" w:space="0" w:color="808080" w:themeColor="background1" w:themeShade="80"/>
              <w:right w:val="single" w:sz="4" w:space="0" w:color="808080"/>
            </w:tcBorders>
            <w:shd w:val="clear" w:color="auto" w:fill="auto"/>
            <w:vAlign w:val="center"/>
          </w:tcPr>
          <w:p w:rsidR="002C0CCF" w:rsidRPr="008B43F6" w:rsidRDefault="002C0CCF" w:rsidP="00C92E54">
            <w:pPr>
              <w:spacing w:after="0"/>
              <w:rPr>
                <w:rFonts w:eastAsia="Times New Roman" w:cs="Calibri"/>
                <w:b/>
                <w:color w:val="000000"/>
                <w:sz w:val="20"/>
                <w:szCs w:val="20"/>
              </w:rPr>
            </w:pPr>
          </w:p>
        </w:tc>
        <w:tc>
          <w:tcPr>
            <w:tcW w:w="3086" w:type="dxa"/>
            <w:tcBorders>
              <w:top w:val="nil"/>
              <w:left w:val="nil"/>
              <w:bottom w:val="single" w:sz="4" w:space="0" w:color="808080" w:themeColor="background1" w:themeShade="80"/>
              <w:right w:val="single" w:sz="4" w:space="0" w:color="808080"/>
            </w:tcBorders>
            <w:shd w:val="clear" w:color="auto" w:fill="auto"/>
            <w:vAlign w:val="center"/>
          </w:tcPr>
          <w:p w:rsidR="002C0CCF" w:rsidRPr="008B43F6" w:rsidRDefault="002C0CCF" w:rsidP="00251C87">
            <w:pPr>
              <w:spacing w:after="0"/>
              <w:rPr>
                <w:rFonts w:eastAsia="Times New Roman" w:cs="Calibri"/>
                <w:color w:val="000000"/>
                <w:sz w:val="20"/>
                <w:szCs w:val="20"/>
              </w:rPr>
            </w:pPr>
            <w:r w:rsidRPr="008B43F6">
              <w:rPr>
                <w:rFonts w:eastAsia="Times New Roman" w:cs="Calibri"/>
                <w:color w:val="000000"/>
                <w:sz w:val="20"/>
                <w:szCs w:val="20"/>
              </w:rPr>
              <w:t xml:space="preserve">Reducción de las islas de calor urbano </w:t>
            </w:r>
            <w:r w:rsidRPr="008B43F6">
              <w:rPr>
                <w:rFonts w:eastAsia="Times New Roman" w:cs="Calibri"/>
                <w:color w:val="000000"/>
                <w:sz w:val="20"/>
                <w:szCs w:val="20"/>
              </w:rPr>
              <w:fldChar w:fldCharType="begin"/>
            </w:r>
            <w:r w:rsidR="00251C87">
              <w:rPr>
                <w:rFonts w:eastAsia="Times New Roman" w:cs="Calibri"/>
                <w:color w:val="000000"/>
                <w:sz w:val="20"/>
                <w:szCs w:val="20"/>
              </w:rPr>
              <w:instrText xml:space="preserve"> ADDIN EN.CITE &lt;EndNote&gt;&lt;Cite&gt;&lt;Author&gt;Wilson&lt;/Author&gt;&lt;Year&gt;2005&lt;/Year&gt;&lt;RecNum&gt;29&lt;/RecNum&gt;&lt;DisplayText&gt;[37]&lt;/DisplayText&gt;&lt;record&gt;&lt;rec-number&gt;29&lt;/rec-number&gt;&lt;foreign-keys&gt;&lt;key app="EN" db-id="w0w9edzzlxxfdgesvf359ft8wzxverspwaav"&gt;29&lt;/key&gt;&lt;/foreign-keys&gt;&lt;ref-type name="Newspaper Article"&gt;23&lt;/ref-type&gt;&lt;contributors&gt;&lt;authors&gt;&lt;author&gt;Alex Wilson &lt;/author&gt;&lt;/authors&gt;&lt;/contributors&gt;&lt;titles&gt;&lt;title&gt;Making the Case for Green Building &lt;/title&gt;&lt;secondary-title&gt;Environmental Building News&lt;/secondary-title&gt;&lt;/titles&gt;&lt;dates&gt;&lt;year&gt;2005&lt;/year&gt;&lt;pub-dates&gt;&lt;date&gt;April 1, 2005&lt;/date&gt;&lt;/pub-dates&gt;&lt;/dates&gt;&lt;work-type&gt;Feature&lt;/work-type&gt;&lt;urls&gt;&lt;/urls&gt;&lt;/record&gt;&lt;/Cite&gt;&lt;/EndNote&gt;</w:instrText>
            </w:r>
            <w:r w:rsidRPr="008B43F6">
              <w:rPr>
                <w:rFonts w:eastAsia="Times New Roman" w:cs="Calibri"/>
                <w:color w:val="000000"/>
                <w:sz w:val="20"/>
                <w:szCs w:val="20"/>
              </w:rPr>
              <w:fldChar w:fldCharType="separate"/>
            </w:r>
            <w:r w:rsidR="00251C87">
              <w:rPr>
                <w:rFonts w:eastAsia="Times New Roman" w:cs="Calibri"/>
                <w:noProof/>
                <w:color w:val="000000"/>
                <w:sz w:val="20"/>
                <w:szCs w:val="20"/>
              </w:rPr>
              <w:t>[</w:t>
            </w:r>
            <w:hyperlink w:anchor="_ENREF_37" w:tooltip="Wilson, 2005 #29" w:history="1">
              <w:r w:rsidR="00251C87">
                <w:rPr>
                  <w:rFonts w:eastAsia="Times New Roman" w:cs="Calibri"/>
                  <w:noProof/>
                  <w:color w:val="000000"/>
                  <w:sz w:val="20"/>
                  <w:szCs w:val="20"/>
                </w:rPr>
                <w:t>37</w:t>
              </w:r>
            </w:hyperlink>
            <w:r w:rsidR="00251C87">
              <w:rPr>
                <w:rFonts w:eastAsia="Times New Roman" w:cs="Calibri"/>
                <w:noProof/>
                <w:color w:val="000000"/>
                <w:sz w:val="20"/>
                <w:szCs w:val="20"/>
              </w:rPr>
              <w:t>]</w:t>
            </w:r>
            <w:r w:rsidRPr="008B43F6">
              <w:rPr>
                <w:rFonts w:eastAsia="Times New Roman" w:cs="Calibri"/>
                <w:color w:val="000000"/>
                <w:sz w:val="20"/>
                <w:szCs w:val="20"/>
              </w:rPr>
              <w:fldChar w:fldCharType="end"/>
            </w:r>
            <w:r w:rsidRPr="008B43F6">
              <w:rPr>
                <w:rFonts w:eastAsia="Times New Roman" w:cs="Calibri"/>
                <w:color w:val="000000"/>
                <w:sz w:val="20"/>
                <w:szCs w:val="20"/>
              </w:rPr>
              <w:t>.</w:t>
            </w:r>
          </w:p>
        </w:tc>
        <w:tc>
          <w:tcPr>
            <w:tcW w:w="1636" w:type="dxa"/>
            <w:tcBorders>
              <w:top w:val="nil"/>
              <w:left w:val="nil"/>
              <w:bottom w:val="single" w:sz="4" w:space="0" w:color="808080" w:themeColor="background1" w:themeShade="80"/>
              <w:right w:val="single" w:sz="4" w:space="0" w:color="808080"/>
            </w:tcBorders>
            <w:shd w:val="clear" w:color="auto" w:fill="auto"/>
            <w:vAlign w:val="center"/>
          </w:tcPr>
          <w:p w:rsidR="002C0CCF" w:rsidRPr="008B43F6" w:rsidRDefault="002C0CCF" w:rsidP="00C92E54">
            <w:pPr>
              <w:spacing w:after="0"/>
              <w:jc w:val="center"/>
              <w:rPr>
                <w:rFonts w:eastAsia="Times New Roman" w:cs="Calibri"/>
                <w:color w:val="000000"/>
                <w:sz w:val="20"/>
                <w:szCs w:val="20"/>
              </w:rPr>
            </w:pPr>
          </w:p>
        </w:tc>
        <w:tc>
          <w:tcPr>
            <w:tcW w:w="951" w:type="dxa"/>
            <w:tcBorders>
              <w:top w:val="nil"/>
              <w:left w:val="nil"/>
              <w:bottom w:val="single" w:sz="4" w:space="0" w:color="808080" w:themeColor="background1" w:themeShade="80"/>
              <w:right w:val="single" w:sz="4" w:space="0" w:color="808080"/>
            </w:tcBorders>
            <w:shd w:val="clear" w:color="auto" w:fill="auto"/>
            <w:vAlign w:val="center"/>
          </w:tcPr>
          <w:p w:rsidR="002C0CCF" w:rsidRPr="008B43F6" w:rsidRDefault="002C0CCF" w:rsidP="00C92E54">
            <w:pPr>
              <w:spacing w:after="0"/>
              <w:jc w:val="center"/>
              <w:rPr>
                <w:rFonts w:eastAsia="Times New Roman" w:cs="Calibri"/>
                <w:color w:val="000000"/>
                <w:sz w:val="20"/>
                <w:szCs w:val="20"/>
              </w:rPr>
            </w:pPr>
            <w:r w:rsidRPr="008B43F6">
              <w:rPr>
                <w:rFonts w:eastAsia="Times New Roman" w:cs="Calibri"/>
                <w:color w:val="000000"/>
                <w:sz w:val="20"/>
                <w:szCs w:val="20"/>
              </w:rPr>
              <w:sym w:font="Symbol" w:char="F0B7"/>
            </w:r>
          </w:p>
        </w:tc>
        <w:tc>
          <w:tcPr>
            <w:tcW w:w="1105" w:type="dxa"/>
            <w:tcBorders>
              <w:top w:val="nil"/>
              <w:left w:val="nil"/>
              <w:bottom w:val="single" w:sz="4" w:space="0" w:color="808080" w:themeColor="background1" w:themeShade="80"/>
              <w:right w:val="single" w:sz="4" w:space="0" w:color="808080"/>
            </w:tcBorders>
            <w:shd w:val="clear" w:color="auto" w:fill="auto"/>
            <w:vAlign w:val="center"/>
          </w:tcPr>
          <w:p w:rsidR="002C0CCF" w:rsidRPr="008B43F6" w:rsidRDefault="002C0CCF" w:rsidP="00C92E54">
            <w:pPr>
              <w:spacing w:after="0"/>
              <w:jc w:val="center"/>
              <w:rPr>
                <w:rFonts w:eastAsia="Times New Roman" w:cs="Calibri"/>
                <w:color w:val="000000"/>
                <w:sz w:val="20"/>
                <w:szCs w:val="20"/>
              </w:rPr>
            </w:pPr>
          </w:p>
        </w:tc>
        <w:tc>
          <w:tcPr>
            <w:tcW w:w="1054" w:type="dxa"/>
            <w:tcBorders>
              <w:top w:val="nil"/>
              <w:left w:val="nil"/>
              <w:bottom w:val="single" w:sz="4" w:space="0" w:color="808080" w:themeColor="background1" w:themeShade="80"/>
              <w:right w:val="single" w:sz="8" w:space="0" w:color="808080"/>
            </w:tcBorders>
            <w:shd w:val="clear" w:color="auto" w:fill="auto"/>
            <w:vAlign w:val="center"/>
          </w:tcPr>
          <w:p w:rsidR="002C0CCF" w:rsidRPr="008B43F6" w:rsidRDefault="002C0CCF" w:rsidP="00C92E54">
            <w:pPr>
              <w:spacing w:after="0"/>
              <w:jc w:val="center"/>
              <w:rPr>
                <w:rFonts w:eastAsia="Times New Roman" w:cs="Calibri"/>
                <w:color w:val="000000"/>
                <w:sz w:val="20"/>
                <w:szCs w:val="20"/>
              </w:rPr>
            </w:pPr>
          </w:p>
        </w:tc>
      </w:tr>
    </w:tbl>
    <w:p w:rsidR="002C0CCF" w:rsidRPr="008B43F6" w:rsidRDefault="002C0CCF" w:rsidP="00C92E54">
      <w:pPr>
        <w:jc w:val="both"/>
        <w:rPr>
          <w:rFonts w:cstheme="minorHAnsi"/>
        </w:rPr>
      </w:pPr>
    </w:p>
    <w:p w:rsidR="002C0CCF" w:rsidRPr="008B43F6" w:rsidRDefault="002C0CCF" w:rsidP="00C92E54">
      <w:pPr>
        <w:ind w:left="720" w:hanging="720"/>
        <w:jc w:val="both"/>
        <w:rPr>
          <w:rFonts w:cstheme="minorHAnsi"/>
        </w:rPr>
      </w:pPr>
    </w:p>
    <w:p w:rsidR="002C0CCF" w:rsidRPr="008B43F6" w:rsidRDefault="002C0CCF" w:rsidP="00EA15E2">
      <w:pPr>
        <w:jc w:val="both"/>
        <w:rPr>
          <w:b/>
          <w:color w:val="365F91" w:themeColor="accent1" w:themeShade="BF"/>
          <w:sz w:val="28"/>
          <w:szCs w:val="28"/>
        </w:rPr>
      </w:pPr>
      <w:r w:rsidRPr="008B43F6">
        <w:rPr>
          <w:b/>
          <w:color w:val="365F91" w:themeColor="accent1" w:themeShade="BF"/>
          <w:sz w:val="28"/>
          <w:szCs w:val="28"/>
        </w:rPr>
        <w:t>Co-beneficios derivados de la introducción de mejoras de eficiencia energética en los edificios residenciales</w:t>
      </w:r>
    </w:p>
    <w:p w:rsidR="002C0CCF" w:rsidRPr="008B43F6" w:rsidRDefault="002C0CCF" w:rsidP="00EA15E2">
      <w:pPr>
        <w:jc w:val="both"/>
        <w:rPr>
          <w:b/>
          <w:color w:val="4F81BD" w:themeColor="accent1"/>
          <w:sz w:val="26"/>
          <w:szCs w:val="26"/>
        </w:rPr>
      </w:pPr>
      <w:r w:rsidRPr="008B43F6">
        <w:rPr>
          <w:b/>
          <w:color w:val="4F81BD" w:themeColor="accent1"/>
          <w:sz w:val="26"/>
          <w:szCs w:val="26"/>
        </w:rPr>
        <w:t>Co-beneficios económicos</w:t>
      </w:r>
    </w:p>
    <w:p w:rsidR="002C0CCF" w:rsidRPr="008B43F6" w:rsidRDefault="002C0CCF" w:rsidP="00EA15E2">
      <w:pPr>
        <w:jc w:val="both"/>
      </w:pPr>
      <w:r w:rsidRPr="008B43F6">
        <w:t>Los co-beneficios económicos se refieren a los beneficios que se obtienen mediante el ahorro de costos en diversos ámbitos derivados del ahorro de energía en los hogares, y a los demás co-beneficios económicos que son generados por estos ahorros. También se refieren a los impactos económicos de mayor alcance, tales como la innovación y la creación de empleo, que se pueden derivar de los desarrollos para alcanzar la eficiencia energética.</w:t>
      </w:r>
    </w:p>
    <w:p w:rsidR="002C0CCF" w:rsidRPr="008B43F6" w:rsidRDefault="002C0CCF" w:rsidP="00EA15E2">
      <w:pPr>
        <w:pStyle w:val="Prrafodelista"/>
        <w:numPr>
          <w:ilvl w:val="0"/>
          <w:numId w:val="20"/>
        </w:numPr>
        <w:jc w:val="both"/>
        <w:rPr>
          <w:b/>
          <w:i/>
          <w:color w:val="4F81BD" w:themeColor="accent1"/>
          <w:sz w:val="24"/>
          <w:szCs w:val="24"/>
        </w:rPr>
      </w:pPr>
      <w:r w:rsidRPr="008B43F6">
        <w:rPr>
          <w:b/>
          <w:i/>
          <w:color w:val="4F81BD" w:themeColor="accent1"/>
          <w:sz w:val="24"/>
          <w:szCs w:val="24"/>
        </w:rPr>
        <w:t>Reducción en el pago de facturas por consumo de energéticos</w:t>
      </w:r>
    </w:p>
    <w:p w:rsidR="002C0CCF" w:rsidRPr="008B43F6" w:rsidRDefault="002C0CCF" w:rsidP="00EA15E2">
      <w:pPr>
        <w:jc w:val="both"/>
        <w:rPr>
          <w:bCs/>
        </w:rPr>
      </w:pPr>
      <w:r w:rsidRPr="008B43F6">
        <w:rPr>
          <w:bCs/>
        </w:rPr>
        <w:lastRenderedPageBreak/>
        <w:t xml:space="preserve">En promedio, el menor consumo de energía derivado de las mejoras en la eficiencia energética se traduce en una disminución en los pagos por concepto de energía consumida </w:t>
      </w:r>
      <w:r w:rsidRPr="008B43F6">
        <w:rPr>
          <w:bCs/>
        </w:rPr>
        <w:fldChar w:fldCharType="begin"/>
      </w:r>
      <w:r w:rsidRPr="008B43F6">
        <w:rPr>
          <w:bCs/>
        </w:rPr>
        <w:instrText xml:space="preserve"> ADDIN EN.CITE &lt;EndNote&gt;&lt;Cite&gt;&lt;Author&gt;Ürge-Vorsatz&lt;/Author&gt;&lt;Year&gt;2009&lt;/Year&gt;&lt;RecNum&gt;23&lt;/RecNum&gt;&lt;DisplayText&gt;[3]&lt;/DisplayText&gt;&lt;record&gt;&lt;rec-number&gt;23&lt;/rec-number&gt;&lt;foreign-keys&gt;&lt;key app="EN" db-id="w0w9edzzlxxfdgesvf359ft8wzxverspwaav"&gt;23&lt;/key&gt;&lt;/foreign-keys&gt;&lt;ref-type name="Conference Paper"&gt;47&lt;/ref-type&gt;&lt;contributors&gt;&lt;authors&gt;&lt;author&gt;Diana Ürge-Vorsatz&lt;/author&gt;&lt;author&gt;Aleksandra Novikova&lt;/author&gt;&lt;author&gt;Maria Sharmina&lt;/author&gt;&lt;/authors&gt;&lt;/contributors&gt;&lt;titles&gt;&lt;title&gt;Counting good: quantifying the co-benefits of improved efficiency in buildings&lt;/title&gt;&lt;secondary-title&gt;European Council for an Energy Efficient Economy&lt;/secondary-title&gt;&lt;/titles&gt;&lt;dates&gt;&lt;year&gt;2009&lt;/year&gt;&lt;/dates&gt;&lt;urls&gt;&lt;/urls&gt;&lt;custom1&gt;France&lt;/custom1&gt;&lt;/record&gt;&lt;/Cite&gt;&lt;/EndNote&gt;</w:instrText>
      </w:r>
      <w:r w:rsidRPr="008B43F6">
        <w:rPr>
          <w:bCs/>
        </w:rPr>
        <w:fldChar w:fldCharType="separate"/>
      </w:r>
      <w:r w:rsidRPr="008B43F6">
        <w:rPr>
          <w:bCs/>
          <w:noProof/>
        </w:rPr>
        <w:t>[</w:t>
      </w:r>
      <w:hyperlink w:anchor="_ENREF_3" w:tooltip="Ürge-Vorsatz, 2009 #23" w:history="1">
        <w:r w:rsidR="00251C87" w:rsidRPr="008B43F6">
          <w:rPr>
            <w:bCs/>
            <w:noProof/>
          </w:rPr>
          <w:t>3</w:t>
        </w:r>
      </w:hyperlink>
      <w:r w:rsidRPr="008B43F6">
        <w:rPr>
          <w:bCs/>
          <w:noProof/>
        </w:rPr>
        <w:t>]</w:t>
      </w:r>
      <w:r w:rsidRPr="008B43F6">
        <w:rPr>
          <w:bCs/>
        </w:rPr>
        <w:fldChar w:fldCharType="end"/>
      </w:r>
      <w:r w:rsidRPr="008B43F6">
        <w:rPr>
          <w:bCs/>
        </w:rPr>
        <w:t>.</w:t>
      </w:r>
    </w:p>
    <w:p w:rsidR="002C0CCF" w:rsidRPr="008B43F6" w:rsidRDefault="002C0CCF" w:rsidP="00EA15E2">
      <w:pPr>
        <w:pStyle w:val="Prrafodelista"/>
        <w:numPr>
          <w:ilvl w:val="0"/>
          <w:numId w:val="20"/>
        </w:numPr>
        <w:jc w:val="both"/>
        <w:rPr>
          <w:b/>
          <w:i/>
          <w:color w:val="4F81BD" w:themeColor="accent1"/>
          <w:sz w:val="24"/>
          <w:szCs w:val="24"/>
        </w:rPr>
      </w:pPr>
      <w:r w:rsidRPr="008B43F6">
        <w:rPr>
          <w:b/>
          <w:i/>
          <w:color w:val="4F81BD" w:themeColor="accent1"/>
          <w:sz w:val="24"/>
          <w:szCs w:val="24"/>
        </w:rPr>
        <w:t>Mayores ingresos de por vida</w:t>
      </w:r>
    </w:p>
    <w:p w:rsidR="002C0CCF" w:rsidRPr="008B43F6" w:rsidRDefault="002C0CCF" w:rsidP="00EA15E2">
      <w:pPr>
        <w:jc w:val="both"/>
        <w:rPr>
          <w:bCs/>
        </w:rPr>
      </w:pPr>
      <w:r w:rsidRPr="008B43F6">
        <w:rPr>
          <w:bCs/>
        </w:rPr>
        <w:t xml:space="preserve">Debido a que las inversiones en casas habitación son de largo plazo, la eficiencia energética puede traducirse en ahorros en las facturas durante muchos años y, como consecuencia, en mayores ingresos de por vida </w:t>
      </w:r>
      <w:r w:rsidRPr="008B43F6">
        <w:rPr>
          <w:bCs/>
        </w:rPr>
        <w:fldChar w:fldCharType="begin"/>
      </w:r>
      <w:r w:rsidRPr="008B43F6">
        <w:rPr>
          <w:bCs/>
        </w:rPr>
        <w:instrText xml:space="preserve"> ADDIN EN.CITE &lt;EndNote&gt;&lt;Cite&gt;&lt;Author&gt;Ürge-Vorsatz&lt;/Author&gt;&lt;Year&gt;2009&lt;/Year&gt;&lt;RecNum&gt;23&lt;/RecNum&gt;&lt;DisplayText&gt;[3]&lt;/DisplayText&gt;&lt;record&gt;&lt;rec-number&gt;23&lt;/rec-number&gt;&lt;foreign-keys&gt;&lt;key app="EN" db-id="w0w9edzzlxxfdgesvf359ft8wzxverspwaav"&gt;23&lt;/key&gt;&lt;/foreign-keys&gt;&lt;ref-type name="Conference Paper"&gt;47&lt;/ref-type&gt;&lt;contributors&gt;&lt;authors&gt;&lt;author&gt;Diana Ürge-Vorsatz&lt;/author&gt;&lt;author&gt;Aleksandra Novikova&lt;/author&gt;&lt;author&gt;Maria Sharmina&lt;/author&gt;&lt;/authors&gt;&lt;/contributors&gt;&lt;titles&gt;&lt;title&gt;Counting good: quantifying the co-benefits of improved efficiency in buildings&lt;/title&gt;&lt;secondary-title&gt;European Council for an Energy Efficient Economy&lt;/secondary-title&gt;&lt;/titles&gt;&lt;dates&gt;&lt;year&gt;2009&lt;/year&gt;&lt;/dates&gt;&lt;urls&gt;&lt;/urls&gt;&lt;custom1&gt;France&lt;/custom1&gt;&lt;/record&gt;&lt;/Cite&gt;&lt;/EndNote&gt;</w:instrText>
      </w:r>
      <w:r w:rsidRPr="008B43F6">
        <w:rPr>
          <w:bCs/>
        </w:rPr>
        <w:fldChar w:fldCharType="separate"/>
      </w:r>
      <w:r w:rsidRPr="008B43F6">
        <w:rPr>
          <w:bCs/>
          <w:noProof/>
        </w:rPr>
        <w:t>[</w:t>
      </w:r>
      <w:hyperlink w:anchor="_ENREF_3" w:tooltip="Ürge-Vorsatz, 2009 #23" w:history="1">
        <w:r w:rsidR="00251C87" w:rsidRPr="008B43F6">
          <w:rPr>
            <w:bCs/>
            <w:noProof/>
          </w:rPr>
          <w:t>3</w:t>
        </w:r>
      </w:hyperlink>
      <w:r w:rsidRPr="008B43F6">
        <w:rPr>
          <w:bCs/>
          <w:noProof/>
        </w:rPr>
        <w:t>]</w:t>
      </w:r>
      <w:r w:rsidRPr="008B43F6">
        <w:rPr>
          <w:bCs/>
        </w:rPr>
        <w:fldChar w:fldCharType="end"/>
      </w:r>
      <w:r w:rsidRPr="008B43F6">
        <w:rPr>
          <w:bCs/>
        </w:rPr>
        <w:t>.</w:t>
      </w:r>
    </w:p>
    <w:p w:rsidR="002C0CCF" w:rsidRPr="008B43F6" w:rsidRDefault="002C0CCF" w:rsidP="00EA15E2">
      <w:pPr>
        <w:pStyle w:val="Prrafodelista"/>
        <w:numPr>
          <w:ilvl w:val="0"/>
          <w:numId w:val="20"/>
        </w:numPr>
        <w:jc w:val="both"/>
        <w:rPr>
          <w:b/>
          <w:i/>
          <w:color w:val="4F81BD" w:themeColor="accent1"/>
          <w:sz w:val="24"/>
          <w:szCs w:val="24"/>
        </w:rPr>
      </w:pPr>
      <w:r w:rsidRPr="008B43F6">
        <w:rPr>
          <w:b/>
          <w:i/>
          <w:color w:val="4F81BD" w:themeColor="accent1"/>
          <w:sz w:val="24"/>
          <w:szCs w:val="24"/>
        </w:rPr>
        <w:t>Reducción en los precios de los energéticos</w:t>
      </w:r>
    </w:p>
    <w:p w:rsidR="002C0CCF" w:rsidRPr="008B43F6" w:rsidRDefault="002C0CCF" w:rsidP="00EA15E2">
      <w:pPr>
        <w:jc w:val="both"/>
        <w:rPr>
          <w:bCs/>
        </w:rPr>
      </w:pPr>
      <w:r w:rsidRPr="008B43F6">
        <w:rPr>
          <w:bCs/>
        </w:rPr>
        <w:t xml:space="preserve">Las mejoras en la eficiencia energética a gran escala puede llevar a la disminución en el precio de los combustibles y energéticos para los edificios debido una baja en la demanda de los mismos resultante de la implementación de medidas de eficiencia energética </w:t>
      </w:r>
      <w:r w:rsidRPr="008B43F6">
        <w:rPr>
          <w:bCs/>
        </w:rPr>
        <w:fldChar w:fldCharType="begin"/>
      </w:r>
      <w:r w:rsidRPr="008B43F6">
        <w:rPr>
          <w:bCs/>
        </w:rPr>
        <w:instrText xml:space="preserve"> ADDIN EN.CITE &lt;EndNote&gt;&lt;Cite&gt;&lt;Author&gt;Ürge-Vorsatz&lt;/Author&gt;&lt;Year&gt;2009&lt;/Year&gt;&lt;RecNum&gt;23&lt;/RecNum&gt;&lt;DisplayText&gt;[3]&lt;/DisplayText&gt;&lt;record&gt;&lt;rec-number&gt;23&lt;/rec-number&gt;&lt;foreign-keys&gt;&lt;key app="EN" db-id="w0w9edzzlxxfdgesvf359ft8wzxverspwaav"&gt;23&lt;/key&gt;&lt;/foreign-keys&gt;&lt;ref-type name="Conference Paper"&gt;47&lt;/ref-type&gt;&lt;contributors&gt;&lt;authors&gt;&lt;author&gt;Diana Ürge-Vorsatz&lt;/author&gt;&lt;author&gt;Aleksandra Novikova&lt;/author&gt;&lt;author&gt;Maria Sharmina&lt;/author&gt;&lt;/authors&gt;&lt;/contributors&gt;&lt;titles&gt;&lt;title&gt;Counting good: quantifying the co-benefits of improved efficiency in buildings&lt;/title&gt;&lt;secondary-title&gt;European Council for an Energy Efficient Economy&lt;/secondary-title&gt;&lt;/titles&gt;&lt;dates&gt;&lt;year&gt;2009&lt;/year&gt;&lt;/dates&gt;&lt;urls&gt;&lt;/urls&gt;&lt;custom1&gt;France&lt;/custom1&gt;&lt;/record&gt;&lt;/Cite&gt;&lt;/EndNote&gt;</w:instrText>
      </w:r>
      <w:r w:rsidRPr="008B43F6">
        <w:rPr>
          <w:bCs/>
        </w:rPr>
        <w:fldChar w:fldCharType="separate"/>
      </w:r>
      <w:r w:rsidRPr="008B43F6">
        <w:rPr>
          <w:bCs/>
          <w:noProof/>
        </w:rPr>
        <w:t>[</w:t>
      </w:r>
      <w:hyperlink w:anchor="_ENREF_3" w:tooltip="Ürge-Vorsatz, 2009 #23" w:history="1">
        <w:r w:rsidR="00251C87" w:rsidRPr="008B43F6">
          <w:rPr>
            <w:bCs/>
            <w:noProof/>
          </w:rPr>
          <w:t>3</w:t>
        </w:r>
      </w:hyperlink>
      <w:r w:rsidRPr="008B43F6">
        <w:rPr>
          <w:bCs/>
          <w:noProof/>
        </w:rPr>
        <w:t>]</w:t>
      </w:r>
      <w:r w:rsidRPr="008B43F6">
        <w:rPr>
          <w:bCs/>
        </w:rPr>
        <w:fldChar w:fldCharType="end"/>
      </w:r>
      <w:r w:rsidRPr="008B43F6">
        <w:rPr>
          <w:bCs/>
        </w:rPr>
        <w:t>.</w:t>
      </w:r>
    </w:p>
    <w:p w:rsidR="002C0CCF" w:rsidRPr="008B43F6" w:rsidRDefault="002C0CCF" w:rsidP="00EA15E2">
      <w:pPr>
        <w:pStyle w:val="Prrafodelista"/>
        <w:numPr>
          <w:ilvl w:val="0"/>
          <w:numId w:val="20"/>
        </w:numPr>
        <w:jc w:val="both"/>
        <w:rPr>
          <w:i/>
          <w:sz w:val="24"/>
          <w:szCs w:val="24"/>
        </w:rPr>
      </w:pPr>
      <w:r w:rsidRPr="008B43F6">
        <w:rPr>
          <w:b/>
          <w:i/>
          <w:color w:val="4F81BD" w:themeColor="accent1"/>
          <w:sz w:val="24"/>
          <w:szCs w:val="24"/>
        </w:rPr>
        <w:t>Mayor vida útil de los edificios, tasas más bajas de desgaste y ciclos más largos de reacondicionamiento y reparación</w:t>
      </w:r>
      <w:r w:rsidRPr="008B43F6">
        <w:rPr>
          <w:i/>
          <w:sz w:val="24"/>
          <w:szCs w:val="24"/>
        </w:rPr>
        <w:t>.</w:t>
      </w:r>
    </w:p>
    <w:p w:rsidR="002C0CCF" w:rsidRPr="008B43F6" w:rsidRDefault="002C0CCF" w:rsidP="00EA15E2">
      <w:pPr>
        <w:jc w:val="both"/>
        <w:rPr>
          <w:bCs/>
        </w:rPr>
      </w:pPr>
      <w:r w:rsidRPr="008B43F6">
        <w:rPr>
          <w:bCs/>
        </w:rPr>
        <w:t xml:space="preserve">En las construcciones que están mejor aisladas se eliminan los problemas de humedad asociados, por ejemplo, con puentes térmicos y sótanos húmedos. El aislamiento térmico reduce la exposición a las condiciones fluctuantes del exterior, y por lo tanto, evita la humedad, la oxidación y la formación de moho </w:t>
      </w:r>
      <w:r w:rsidRPr="008B43F6">
        <w:rPr>
          <w:bCs/>
        </w:rPr>
        <w:fldChar w:fldCharType="begin"/>
      </w:r>
      <w:r w:rsidR="00251C87">
        <w:rPr>
          <w:bCs/>
        </w:rPr>
        <w:instrText xml:space="preserve"> ADDIN EN.CITE &lt;EndNote&gt;&lt;Cite&gt;&lt;Author&gt;Golubchikov&lt;/Author&gt;&lt;Year&gt;2009&lt;/Year&gt;&lt;RecNum&gt;13&lt;/RecNum&gt;&lt;DisplayText&gt;[38]&lt;/DisplayText&gt;&lt;record&gt;&lt;rec-number&gt;13&lt;/rec-number&gt;&lt;foreign-keys&gt;&lt;key app="EN" db-id="w0w9edzzlxxfdgesvf359ft8wzxverspwaav"&gt;13&lt;/key&gt;&lt;/foreign-keys&gt;&lt;ref-type name="Report"&gt;27&lt;/ref-type&gt;&lt;contributors&gt;&lt;authors&gt;&lt;author&gt;Oleg Golubchikov&lt;/author&gt;&lt;/authors&gt;&lt;/contributors&gt;&lt;titles&gt;&lt;title&gt;Green Homes. Towards energy-efficient housing in the United Nations Economic Commission for Europe region&lt;/title&gt;&lt;/titles&gt;&lt;dates&gt;&lt;year&gt;2009&lt;/year&gt;&lt;/dates&gt;&lt;pub-location&gt;Geneva&lt;/pub-location&gt;&lt;publisher&gt;United Nations Economic Commission for Europe&lt;/publisher&gt;&lt;urls&gt;&lt;related-urls&gt;&lt;url&gt;http://www.unece.org/fileadmin/DAM/publications/oes/greenhomes.e.pdf&lt;/url&gt;&lt;/related-urls&gt;&lt;/urls&gt;&lt;access-date&gt;09/08/12&lt;/access-date&gt;&lt;/record&gt;&lt;/Cite&gt;&lt;/EndNote&gt;</w:instrText>
      </w:r>
      <w:r w:rsidRPr="008B43F6">
        <w:rPr>
          <w:bCs/>
        </w:rPr>
        <w:fldChar w:fldCharType="separate"/>
      </w:r>
      <w:r w:rsidR="00251C87">
        <w:rPr>
          <w:bCs/>
          <w:noProof/>
        </w:rPr>
        <w:t>[</w:t>
      </w:r>
      <w:hyperlink w:anchor="_ENREF_38" w:tooltip="Golubchikov, 2009 #13" w:history="1">
        <w:r w:rsidR="00251C87">
          <w:rPr>
            <w:bCs/>
            <w:noProof/>
          </w:rPr>
          <w:t>38</w:t>
        </w:r>
      </w:hyperlink>
      <w:r w:rsidR="00251C87">
        <w:rPr>
          <w:bCs/>
          <w:noProof/>
        </w:rPr>
        <w:t>]</w:t>
      </w:r>
      <w:r w:rsidRPr="008B43F6">
        <w:rPr>
          <w:bCs/>
        </w:rPr>
        <w:fldChar w:fldCharType="end"/>
      </w:r>
      <w:r w:rsidRPr="008B43F6">
        <w:rPr>
          <w:bCs/>
        </w:rPr>
        <w:t>.</w:t>
      </w:r>
    </w:p>
    <w:p w:rsidR="002C0CCF" w:rsidRPr="008B43F6" w:rsidRDefault="002C0CCF" w:rsidP="00EA15E2">
      <w:pPr>
        <w:pStyle w:val="Prrafodelista"/>
        <w:numPr>
          <w:ilvl w:val="0"/>
          <w:numId w:val="20"/>
        </w:numPr>
        <w:jc w:val="both"/>
        <w:rPr>
          <w:b/>
          <w:i/>
          <w:color w:val="4F81BD" w:themeColor="accent1"/>
          <w:sz w:val="24"/>
          <w:szCs w:val="24"/>
        </w:rPr>
      </w:pPr>
      <w:r w:rsidRPr="008B43F6">
        <w:rPr>
          <w:b/>
          <w:i/>
          <w:color w:val="4F81BD" w:themeColor="accent1"/>
          <w:sz w:val="24"/>
          <w:szCs w:val="24"/>
        </w:rPr>
        <w:t>Se evitan cortes y re-conexiones de servicios</w:t>
      </w:r>
    </w:p>
    <w:p w:rsidR="002C0CCF" w:rsidRPr="008B43F6" w:rsidRDefault="002C0CCF" w:rsidP="00EA15E2">
      <w:pPr>
        <w:jc w:val="both"/>
        <w:rPr>
          <w:bCs/>
        </w:rPr>
      </w:pPr>
      <w:r w:rsidRPr="008B43F6">
        <w:rPr>
          <w:bCs/>
        </w:rPr>
        <w:t xml:space="preserve">Con las mejoras en eficiencia energética en los hogares beneficiarios, es menos probable que las familias que habitan en ellos se retrasen en los pagos de sus facturas o se expongan a que se les corte el servicio por falta de pago </w:t>
      </w:r>
      <w:r w:rsidRPr="008B43F6">
        <w:rPr>
          <w:bCs/>
        </w:rPr>
        <w:fldChar w:fldCharType="begin"/>
      </w:r>
      <w:r w:rsidR="00251C87">
        <w:rPr>
          <w:bCs/>
        </w:rPr>
        <w:instrText xml:space="preserve"> ADDIN EN.CITE &lt;EndNote&gt;&lt;Cite&gt;&lt;Author&gt;Schweitzer&lt;/Author&gt;&lt;Year&gt;2002&lt;/Year&gt;&lt;RecNum&gt;12&lt;/RecNum&gt;&lt;DisplayText&gt;[39]&lt;/DisplayText&gt;&lt;record&gt;&lt;rec-number&gt;12&lt;/rec-number&gt;&lt;foreign-keys&gt;&lt;key app="EN" db-id="w0w9edzzlxxfdgesvf359ft8wzxverspwaav"&gt;12&lt;/key&gt;&lt;/foreign-keys&gt;&lt;ref-type name="Report"&gt;27&lt;/ref-type&gt;&lt;contributors&gt;&lt;authors&gt;&lt;author&gt;Martin Schweitzer&lt;/author&gt;&lt;author&gt;Bruce Tonn&lt;/author&gt;&lt;/authors&gt;&lt;/contributors&gt;&lt;titles&gt;&lt;title&gt;Nonenergy benefits from the weatherization assistance program: a summary of findings from the recent literature&lt;/title&gt;&lt;/titles&gt;&lt;dates&gt;&lt;year&gt;2002&lt;/year&gt;&lt;/dates&gt;&lt;pub-location&gt;Springfield, VA&lt;/pub-location&gt;&lt;publisher&gt;OAK RIDGE NATIONAL LABORATORY&lt;/publisher&gt;&lt;urls&gt;&lt;related-urls&gt;&lt;url&gt;http://weatherization.ornl.gov/pdfs/ORNL_CON-484.pdf&lt;/url&gt;&lt;/related-urls&gt;&lt;/urls&gt;&lt;access-date&gt;09/08/12&lt;/access-date&gt;&lt;/record&gt;&lt;/Cite&gt;&lt;/EndNote&gt;</w:instrText>
      </w:r>
      <w:r w:rsidRPr="008B43F6">
        <w:rPr>
          <w:bCs/>
        </w:rPr>
        <w:fldChar w:fldCharType="separate"/>
      </w:r>
      <w:r w:rsidR="00251C87">
        <w:rPr>
          <w:bCs/>
          <w:noProof/>
        </w:rPr>
        <w:t>[</w:t>
      </w:r>
      <w:hyperlink w:anchor="_ENREF_39" w:tooltip="Schweitzer, 2002 #12" w:history="1">
        <w:r w:rsidR="00251C87">
          <w:rPr>
            <w:bCs/>
            <w:noProof/>
          </w:rPr>
          <w:t>39</w:t>
        </w:r>
      </w:hyperlink>
      <w:r w:rsidR="00251C87">
        <w:rPr>
          <w:bCs/>
          <w:noProof/>
        </w:rPr>
        <w:t>]</w:t>
      </w:r>
      <w:r w:rsidRPr="008B43F6">
        <w:rPr>
          <w:bCs/>
        </w:rPr>
        <w:fldChar w:fldCharType="end"/>
      </w:r>
      <w:r w:rsidRPr="008B43F6">
        <w:rPr>
          <w:bCs/>
        </w:rPr>
        <w:t>.</w:t>
      </w:r>
    </w:p>
    <w:p w:rsidR="002C0CCF" w:rsidRPr="008B43F6" w:rsidRDefault="002C0CCF" w:rsidP="00EA15E2">
      <w:pPr>
        <w:pStyle w:val="Prrafodelista"/>
        <w:numPr>
          <w:ilvl w:val="0"/>
          <w:numId w:val="20"/>
        </w:numPr>
        <w:jc w:val="both"/>
        <w:rPr>
          <w:b/>
          <w:i/>
          <w:color w:val="4F81BD" w:themeColor="accent1"/>
          <w:sz w:val="24"/>
          <w:szCs w:val="24"/>
        </w:rPr>
      </w:pPr>
      <w:r w:rsidRPr="008B43F6">
        <w:rPr>
          <w:b/>
          <w:i/>
          <w:color w:val="4F81BD" w:themeColor="accent1"/>
          <w:sz w:val="24"/>
          <w:szCs w:val="24"/>
        </w:rPr>
        <w:t>Mayores posibilidades de alquilar o vender espacios eficientes en energía, mayor precio de los inmuebles</w:t>
      </w:r>
    </w:p>
    <w:p w:rsidR="002C0CCF" w:rsidRPr="008B43F6" w:rsidRDefault="002C0CCF" w:rsidP="00EA15E2">
      <w:pPr>
        <w:jc w:val="both"/>
        <w:rPr>
          <w:bCs/>
        </w:rPr>
      </w:pPr>
      <w:r w:rsidRPr="008B43F6">
        <w:rPr>
          <w:bCs/>
        </w:rPr>
        <w:t xml:space="preserve">En muchos casos, en los programas de eficiencia energética, además de instalar dispositivos para tal fin, hacen algunas mejoras y reparaciones estructurales en las casas en las que se aplican. Los proyectos de eficiencia energética también pueden mejorar la calidad estética de los edificios, aislarlos mejor del ruido, y si se combinan con medidas más integrales, también se pueden lograr mejoras técnicas adicionales. </w:t>
      </w:r>
    </w:p>
    <w:p w:rsidR="002C0CCF" w:rsidRPr="008B43F6" w:rsidRDefault="002C0CCF" w:rsidP="00EA15E2">
      <w:pPr>
        <w:jc w:val="both"/>
        <w:rPr>
          <w:bCs/>
        </w:rPr>
      </w:pPr>
      <w:r w:rsidRPr="008B43F6">
        <w:rPr>
          <w:bCs/>
        </w:rPr>
        <w:t xml:space="preserve">Por lo general, las mejoras estructurales proporcionadas por estos programas aumentan el valor de la construcción de las viviendas beneficiarias, y permiten aumentar los precios de renta. Esto representa una ganancia monetaria para dichos hogares que va más allá de los ahorros monetarios asociados con las mejoras de eficiencia energética que se realizan. Además, las reparaciones estructurales pueden extender la vida útil de las viviendas beneficiarias y preservar la reserva existente de vivienda para personas de bajos recursos </w:t>
      </w:r>
      <w:r w:rsidRPr="008B43F6">
        <w:rPr>
          <w:bCs/>
        </w:rPr>
        <w:fldChar w:fldCharType="begin">
          <w:fldData xml:space="preserve">PEVuZE5vdGU+PENpdGU+PEF1dGhvcj7DnHJnZS1Wb3JzYXR6PC9BdXRob3I+PFllYXI+MjAwOTwv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</w:fldData>
        </w:fldChar>
      </w:r>
      <w:r w:rsidR="00251C87">
        <w:rPr>
          <w:bCs/>
        </w:rPr>
        <w:instrText xml:space="preserve"> ADDIN EN.CITE </w:instrText>
      </w:r>
      <w:r w:rsidR="00251C87">
        <w:rPr>
          <w:bCs/>
        </w:rPr>
        <w:fldChar w:fldCharType="begin">
          <w:fldData xml:space="preserve">PEVuZE5vdGU+PENpdGU+PEF1dGhvcj7DnHJnZS1Wb3JzYXR6PC9BdXRob3I+PFllYXI+MjAwOTwv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</w:fldData>
        </w:fldChar>
      </w:r>
      <w:r w:rsidR="00251C87">
        <w:rPr>
          <w:bCs/>
        </w:rPr>
        <w:instrText xml:space="preserve"> ADDIN EN.CITE.DATA </w:instrText>
      </w:r>
      <w:r w:rsidR="00251C87">
        <w:rPr>
          <w:bCs/>
        </w:rPr>
      </w:r>
      <w:r w:rsidR="00251C87">
        <w:rPr>
          <w:bCs/>
        </w:rPr>
        <w:fldChar w:fldCharType="end"/>
      </w:r>
      <w:r w:rsidRPr="008B43F6">
        <w:rPr>
          <w:bCs/>
        </w:rPr>
      </w:r>
      <w:r w:rsidRPr="008B43F6">
        <w:rPr>
          <w:bCs/>
        </w:rPr>
        <w:fldChar w:fldCharType="separate"/>
      </w:r>
      <w:r w:rsidR="00251C87">
        <w:rPr>
          <w:bCs/>
          <w:noProof/>
        </w:rPr>
        <w:t>[</w:t>
      </w:r>
      <w:hyperlink w:anchor="_ENREF_3" w:tooltip="Ürge-Vorsatz, 2009 #23" w:history="1">
        <w:r w:rsidR="00251C87">
          <w:rPr>
            <w:bCs/>
            <w:noProof/>
          </w:rPr>
          <w:t>3</w:t>
        </w:r>
      </w:hyperlink>
      <w:r w:rsidR="00251C87">
        <w:rPr>
          <w:bCs/>
          <w:noProof/>
        </w:rPr>
        <w:t xml:space="preserve">, </w:t>
      </w:r>
      <w:hyperlink w:anchor="_ENREF_38" w:tooltip="Golubchikov, 2009 #13" w:history="1">
        <w:r w:rsidR="00251C87">
          <w:rPr>
            <w:bCs/>
            <w:noProof/>
          </w:rPr>
          <w:t>38</w:t>
        </w:r>
      </w:hyperlink>
      <w:r w:rsidR="00251C87">
        <w:rPr>
          <w:bCs/>
          <w:noProof/>
        </w:rPr>
        <w:t xml:space="preserve">, </w:t>
      </w:r>
      <w:hyperlink w:anchor="_ENREF_39" w:tooltip="Schweitzer, 2002 #12" w:history="1">
        <w:r w:rsidR="00251C87">
          <w:rPr>
            <w:bCs/>
            <w:noProof/>
          </w:rPr>
          <w:t>39</w:t>
        </w:r>
      </w:hyperlink>
      <w:r w:rsidR="00251C87">
        <w:rPr>
          <w:bCs/>
          <w:noProof/>
        </w:rPr>
        <w:t>]</w:t>
      </w:r>
      <w:r w:rsidRPr="008B43F6">
        <w:rPr>
          <w:bCs/>
        </w:rPr>
        <w:fldChar w:fldCharType="end"/>
      </w:r>
      <w:r w:rsidRPr="008B43F6">
        <w:rPr>
          <w:bCs/>
        </w:rPr>
        <w:t>.</w:t>
      </w:r>
    </w:p>
    <w:p w:rsidR="002C0CCF" w:rsidRPr="008B43F6" w:rsidRDefault="002C0CCF" w:rsidP="00EA15E2">
      <w:pPr>
        <w:pStyle w:val="Prrafodelista"/>
        <w:numPr>
          <w:ilvl w:val="0"/>
          <w:numId w:val="20"/>
        </w:numPr>
        <w:jc w:val="both"/>
        <w:rPr>
          <w:b/>
          <w:i/>
          <w:color w:val="4F81BD" w:themeColor="accent1"/>
          <w:sz w:val="24"/>
          <w:szCs w:val="24"/>
        </w:rPr>
      </w:pPr>
      <w:r w:rsidRPr="008B43F6">
        <w:rPr>
          <w:b/>
          <w:i/>
          <w:color w:val="4F81BD" w:themeColor="accent1"/>
          <w:sz w:val="24"/>
          <w:szCs w:val="24"/>
        </w:rPr>
        <w:lastRenderedPageBreak/>
        <w:t>Impactos positivos en la investigación, en la innovación y en el desarrollo empresarial</w:t>
      </w:r>
    </w:p>
    <w:p w:rsidR="002C0CCF" w:rsidRPr="008B43F6" w:rsidRDefault="002C0CCF" w:rsidP="00EA15E2">
      <w:pPr>
        <w:jc w:val="both"/>
        <w:rPr>
          <w:bCs/>
        </w:rPr>
      </w:pPr>
      <w:r w:rsidRPr="008B43F6">
        <w:rPr>
          <w:bCs/>
        </w:rPr>
        <w:t xml:space="preserve">Las nuevas tecnologías requieren de un alto nivel de conocimientos especializados para su desarrollo e implementación, y para la capacitación de los usuarios, mientras que lograr el nivel necesario de capacidad de mercado para la eficiencia energética también puede estimular a las industrias asociadas al comercio y a la consultoría. Esto implica que los impactos directos e indirectos pueden ir más allá de la industria de la construcción y tener un efecto multiplicador genuino </w:t>
      </w:r>
      <w:r w:rsidRPr="008B43F6">
        <w:rPr>
          <w:bCs/>
        </w:rPr>
        <w:fldChar w:fldCharType="begin"/>
      </w:r>
      <w:r w:rsidR="00251C87">
        <w:rPr>
          <w:bCs/>
        </w:rPr>
        <w:instrText xml:space="preserve"> ADDIN EN.CITE &lt;EndNote&gt;&lt;Cite&gt;&lt;Author&gt;Golubchikov&lt;/Author&gt;&lt;Year&gt;2009&lt;/Year&gt;&lt;RecNum&gt;13&lt;/RecNum&gt;&lt;DisplayText&gt;[38]&lt;/DisplayText&gt;&lt;record&gt;&lt;rec-number&gt;13&lt;/rec-number&gt;&lt;foreign-keys&gt;&lt;key app="EN" db-id="w0w9edzzlxxfdgesvf359ft8wzxverspwaav"&gt;13&lt;/key&gt;&lt;/foreign-keys&gt;&lt;ref-type name="Report"&gt;27&lt;/ref-type&gt;&lt;contributors&gt;&lt;authors&gt;&lt;author&gt;Oleg Golubchikov&lt;/author&gt;&lt;/authors&gt;&lt;/contributors&gt;&lt;titles&gt;&lt;title&gt;Green Homes. Towards energy-efficient housing in the United Nations Economic Commission for Europe region&lt;/title&gt;&lt;/titles&gt;&lt;dates&gt;&lt;year&gt;2009&lt;/year&gt;&lt;/dates&gt;&lt;pub-location&gt;Geneva&lt;/pub-location&gt;&lt;publisher&gt;United Nations Economic Commission for Europe&lt;/publisher&gt;&lt;urls&gt;&lt;related-urls&gt;&lt;url&gt;http://www.unece.org/fileadmin/DAM/publications/oes/greenhomes.e.pdf&lt;/url&gt;&lt;/related-urls&gt;&lt;/urls&gt;&lt;access-date&gt;09/08/12&lt;/access-date&gt;&lt;/record&gt;&lt;/Cite&gt;&lt;/EndNote&gt;</w:instrText>
      </w:r>
      <w:r w:rsidRPr="008B43F6">
        <w:rPr>
          <w:bCs/>
        </w:rPr>
        <w:fldChar w:fldCharType="separate"/>
      </w:r>
      <w:r w:rsidR="00251C87">
        <w:rPr>
          <w:bCs/>
          <w:noProof/>
        </w:rPr>
        <w:t>[</w:t>
      </w:r>
      <w:hyperlink w:anchor="_ENREF_38" w:tooltip="Golubchikov, 2009 #13" w:history="1">
        <w:r w:rsidR="00251C87">
          <w:rPr>
            <w:bCs/>
            <w:noProof/>
          </w:rPr>
          <w:t>38</w:t>
        </w:r>
      </w:hyperlink>
      <w:r w:rsidR="00251C87">
        <w:rPr>
          <w:bCs/>
          <w:noProof/>
        </w:rPr>
        <w:t>]</w:t>
      </w:r>
      <w:r w:rsidRPr="008B43F6">
        <w:rPr>
          <w:bCs/>
        </w:rPr>
        <w:fldChar w:fldCharType="end"/>
      </w:r>
      <w:r w:rsidRPr="008B43F6">
        <w:rPr>
          <w:bCs/>
        </w:rPr>
        <w:t>.</w:t>
      </w:r>
    </w:p>
    <w:p w:rsidR="002C0CCF" w:rsidRPr="008B43F6" w:rsidRDefault="002C0CCF" w:rsidP="00EA15E2">
      <w:pPr>
        <w:pStyle w:val="Prrafodelista"/>
        <w:numPr>
          <w:ilvl w:val="0"/>
          <w:numId w:val="20"/>
        </w:numPr>
        <w:jc w:val="both"/>
        <w:rPr>
          <w:b/>
          <w:i/>
          <w:color w:val="4F81BD" w:themeColor="accent1"/>
          <w:sz w:val="24"/>
          <w:szCs w:val="24"/>
        </w:rPr>
      </w:pPr>
      <w:r w:rsidRPr="008B43F6">
        <w:rPr>
          <w:b/>
          <w:i/>
          <w:color w:val="4F81BD" w:themeColor="accent1"/>
          <w:sz w:val="24"/>
          <w:szCs w:val="24"/>
        </w:rPr>
        <w:t>Creación de empleo y mejoramiento en la capacidad de aprender y ganar (prevención del desempleo)</w:t>
      </w:r>
    </w:p>
    <w:p w:rsidR="002C0CCF" w:rsidRPr="008B43F6" w:rsidRDefault="002C0CCF" w:rsidP="00EA15E2">
      <w:pPr>
        <w:jc w:val="both"/>
        <w:rPr>
          <w:bCs/>
        </w:rPr>
      </w:pPr>
      <w:r w:rsidRPr="008B43F6">
        <w:rPr>
          <w:bCs/>
        </w:rPr>
        <w:t xml:space="preserve">La inversión en reacondicionamiento y construcción verde puede tener un impacto fuertemente positivo en el mercado laboral, debido a que la mayor parte del trabajo invertido en construir vivienda sustentable, se realiza a partir de entrega e instalación de equipos y construcción. La mayoría de los empleos serán creados a nivel local y éstos a su vez propiciarán otras oportunidades de empleo. En particular, el reacondicionamiento de edificios aumenta directamente el empleo, ya que si no existiera una intención de hacer más eficiente un edificio, el trabajo no se habría realizado </w:t>
      </w:r>
      <w:r w:rsidRPr="008B43F6">
        <w:rPr>
          <w:bCs/>
        </w:rPr>
        <w:fldChar w:fldCharType="begin"/>
      </w:r>
      <w:r w:rsidR="00251C87">
        <w:rPr>
          <w:bCs/>
        </w:rPr>
        <w:instrText xml:space="preserve"> ADDIN EN.CITE &lt;EndNote&gt;&lt;Cite&gt;&lt;Author&gt;Renner&lt;/Author&gt;&lt;Year&gt;2008&lt;/Year&gt;&lt;RecNum&gt;30&lt;/RecNum&gt;&lt;DisplayText&gt;[40]&lt;/DisplayText&gt;&lt;record&gt;&lt;rec-number&gt;30&lt;/rec-number&gt;&lt;foreign-keys&gt;&lt;key app="EN" db-id="w0w9edzzlxxfdgesvf359ft8wzxverspwaav"&gt;30&lt;/key&gt;&lt;/foreign-keys&gt;&lt;ref-type name="Report"&gt;27&lt;/ref-type&gt;&lt;contributors&gt;&lt;authors&gt;&lt;author&gt;Michael Renner&lt;/author&gt;&lt;author&gt;Sean Sweeney&lt;/author&gt;&lt;author&gt;Jill Kubit&lt;/author&gt;&lt;/authors&gt;&lt;subsidiary-authors&gt;&lt;author&gt;UNEP/ILO/IOE/ITUC&lt;/author&gt;&lt;/subsidiary-authors&gt;&lt;/contributors&gt;&lt;titles&gt;&lt;title&gt;Green Jobs: Towards decent work in a sustainable, low-carbon world&lt;/title&gt;&lt;/titles&gt;&lt;dates&gt;&lt;year&gt;2008&lt;/year&gt;&lt;/dates&gt;&lt;publisher&gt;Worldwatch Institute&lt;/publisher&gt;&lt;urls&gt;&lt;/urls&gt;&lt;/record&gt;&lt;/Cite&gt;&lt;/EndNote&gt;</w:instrText>
      </w:r>
      <w:r w:rsidRPr="008B43F6">
        <w:rPr>
          <w:bCs/>
        </w:rPr>
        <w:fldChar w:fldCharType="separate"/>
      </w:r>
      <w:r w:rsidR="00251C87">
        <w:rPr>
          <w:bCs/>
          <w:noProof/>
        </w:rPr>
        <w:t>[</w:t>
      </w:r>
      <w:hyperlink w:anchor="_ENREF_40" w:tooltip="Renner, 2008 #30" w:history="1">
        <w:r w:rsidR="00251C87">
          <w:rPr>
            <w:bCs/>
            <w:noProof/>
          </w:rPr>
          <w:t>40</w:t>
        </w:r>
      </w:hyperlink>
      <w:r w:rsidR="00251C87">
        <w:rPr>
          <w:bCs/>
          <w:noProof/>
        </w:rPr>
        <w:t>]</w:t>
      </w:r>
      <w:r w:rsidRPr="008B43F6">
        <w:rPr>
          <w:bCs/>
        </w:rPr>
        <w:fldChar w:fldCharType="end"/>
      </w:r>
      <w:r w:rsidR="00072F36">
        <w:rPr>
          <w:bCs/>
        </w:rPr>
        <w:t xml:space="preserve"> (Ver Anexo </w:t>
      </w:r>
      <w:r w:rsidRPr="008B43F6">
        <w:rPr>
          <w:bCs/>
        </w:rPr>
        <w:t>V).</w:t>
      </w:r>
    </w:p>
    <w:p w:rsidR="002C0CCF" w:rsidRPr="008B43F6" w:rsidRDefault="002C0CCF" w:rsidP="00EA15E2">
      <w:pPr>
        <w:pStyle w:val="Prrafodelista"/>
        <w:numPr>
          <w:ilvl w:val="0"/>
          <w:numId w:val="20"/>
        </w:numPr>
        <w:jc w:val="both"/>
        <w:rPr>
          <w:b/>
          <w:i/>
          <w:color w:val="4F81BD" w:themeColor="accent1"/>
          <w:sz w:val="24"/>
          <w:szCs w:val="24"/>
        </w:rPr>
      </w:pPr>
      <w:r w:rsidRPr="008B43F6">
        <w:rPr>
          <w:b/>
          <w:i/>
          <w:color w:val="4F81BD" w:themeColor="accent1"/>
          <w:sz w:val="24"/>
          <w:szCs w:val="24"/>
        </w:rPr>
        <w:t>Más dinero gastado en la comunidad</w:t>
      </w:r>
    </w:p>
    <w:p w:rsidR="002C0CCF" w:rsidRPr="008B43F6" w:rsidRDefault="002C0CCF" w:rsidP="00EA15E2">
      <w:pPr>
        <w:jc w:val="both"/>
        <w:rPr>
          <w:bCs/>
        </w:rPr>
      </w:pPr>
      <w:r w:rsidRPr="008B43F6">
        <w:rPr>
          <w:bCs/>
        </w:rPr>
        <w:t xml:space="preserve">Los gastos de eficiencia energética pueden afectar a la economía local, ya que una parte del dinero que no es gastado por la comunidad para importar energía, se gasta dentro de la misma. Esto se conoce como efecto multiplicador </w:t>
      </w:r>
      <w:r w:rsidRPr="008B43F6">
        <w:rPr>
          <w:bCs/>
        </w:rPr>
        <w:fldChar w:fldCharType="begin"/>
      </w:r>
      <w:r w:rsidR="00251C87">
        <w:rPr>
          <w:bCs/>
        </w:rPr>
        <w:instrText xml:space="preserve"> ADDIN EN.CITE &lt;EndNote&gt;&lt;Cite&gt;&lt;Author&gt;Golubchikov&lt;/Author&gt;&lt;Year&gt;2009&lt;/Year&gt;&lt;RecNum&gt;13&lt;/RecNum&gt;&lt;DisplayText&gt;[38]&lt;/DisplayText&gt;&lt;record&gt;&lt;rec-number&gt;13&lt;/rec-number&gt;&lt;foreign-keys&gt;&lt;key app="EN" db-id="w0w9edzzlxxfdgesvf359ft8wzxverspwaav"&gt;13&lt;/key&gt;&lt;/foreign-keys&gt;&lt;ref-type name="Report"&gt;27&lt;/ref-type&gt;&lt;contributors&gt;&lt;authors&gt;&lt;author&gt;Oleg Golubchikov&lt;/author&gt;&lt;/authors&gt;&lt;/contributors&gt;&lt;titles&gt;&lt;title&gt;Green Homes. Towards energy-efficient housing in the United Nations Economic Commission for Europe region&lt;/title&gt;&lt;/titles&gt;&lt;dates&gt;&lt;year&gt;2009&lt;/year&gt;&lt;/dates&gt;&lt;pub-location&gt;Geneva&lt;/pub-location&gt;&lt;publisher&gt;United Nations Economic Commission for Europe&lt;/publisher&gt;&lt;urls&gt;&lt;related-urls&gt;&lt;url&gt;http://www.unece.org/fileadmin/DAM/publications/oes/greenhomes.e.pdf&lt;/url&gt;&lt;/related-urls&gt;&lt;/urls&gt;&lt;access-date&gt;09/08/12&lt;/access-date&gt;&lt;/record&gt;&lt;/Cite&gt;&lt;/EndNote&gt;</w:instrText>
      </w:r>
      <w:r w:rsidRPr="008B43F6">
        <w:rPr>
          <w:bCs/>
        </w:rPr>
        <w:fldChar w:fldCharType="separate"/>
      </w:r>
      <w:r w:rsidR="00251C87">
        <w:rPr>
          <w:bCs/>
          <w:noProof/>
        </w:rPr>
        <w:t>[</w:t>
      </w:r>
      <w:hyperlink w:anchor="_ENREF_38" w:tooltip="Golubchikov, 2009 #13" w:history="1">
        <w:r w:rsidR="00251C87">
          <w:rPr>
            <w:bCs/>
            <w:noProof/>
          </w:rPr>
          <w:t>38</w:t>
        </w:r>
      </w:hyperlink>
      <w:r w:rsidR="00251C87">
        <w:rPr>
          <w:bCs/>
          <w:noProof/>
        </w:rPr>
        <w:t>]</w:t>
      </w:r>
      <w:r w:rsidRPr="008B43F6">
        <w:rPr>
          <w:bCs/>
        </w:rPr>
        <w:fldChar w:fldCharType="end"/>
      </w:r>
      <w:r w:rsidRPr="008B43F6">
        <w:rPr>
          <w:bCs/>
        </w:rPr>
        <w:t>.</w:t>
      </w:r>
    </w:p>
    <w:p w:rsidR="002C0CCF" w:rsidRPr="008B43F6" w:rsidRDefault="002C0CCF" w:rsidP="00EA15E2">
      <w:pPr>
        <w:pStyle w:val="Prrafodelista"/>
        <w:numPr>
          <w:ilvl w:val="0"/>
          <w:numId w:val="20"/>
        </w:numPr>
        <w:jc w:val="both"/>
        <w:rPr>
          <w:b/>
          <w:i/>
          <w:color w:val="4F81BD" w:themeColor="accent1"/>
          <w:sz w:val="24"/>
          <w:szCs w:val="24"/>
        </w:rPr>
      </w:pPr>
      <w:r w:rsidRPr="008B43F6">
        <w:rPr>
          <w:b/>
          <w:i/>
          <w:color w:val="4F81BD" w:themeColor="accent1"/>
          <w:sz w:val="24"/>
          <w:szCs w:val="24"/>
        </w:rPr>
        <w:t>Nuevas oportunidades de negocio</w:t>
      </w:r>
    </w:p>
    <w:p w:rsidR="002C0CCF" w:rsidRPr="008B43F6" w:rsidRDefault="002C0CCF" w:rsidP="00EA15E2">
      <w:pPr>
        <w:jc w:val="both"/>
        <w:rPr>
          <w:bCs/>
        </w:rPr>
      </w:pPr>
      <w:r w:rsidRPr="008B43F6">
        <w:rPr>
          <w:bCs/>
        </w:rPr>
        <w:t xml:space="preserve">Los nuevos nichos de mercado para las empresas de servicios energéticos pueden beneficiar más ampliamente a la economía </w:t>
      </w:r>
      <w:r w:rsidRPr="008B43F6">
        <w:rPr>
          <w:bCs/>
        </w:rPr>
        <w:fldChar w:fldCharType="begin"/>
      </w:r>
      <w:r w:rsidRPr="008B43F6">
        <w:rPr>
          <w:bCs/>
        </w:rPr>
        <w:instrText xml:space="preserve"> ADDIN EN.CITE &lt;EndNote&gt;&lt;Cite&gt;&lt;Author&gt;Ürge-Vorsatz&lt;/Author&gt;&lt;Year&gt;2009&lt;/Year&gt;&lt;RecNum&gt;23&lt;/RecNum&gt;&lt;DisplayText&gt;[3]&lt;/DisplayText&gt;&lt;record&gt;&lt;rec-number&gt;23&lt;/rec-number&gt;&lt;foreign-keys&gt;&lt;key app="EN" db-id="w0w9edzzlxxfdgesvf359ft8wzxverspwaav"&gt;23&lt;/key&gt;&lt;/foreign-keys&gt;&lt;ref-type name="Conference Paper"&gt;47&lt;/ref-type&gt;&lt;contributors&gt;&lt;authors&gt;&lt;author&gt;Diana Ürge-Vorsatz&lt;/author&gt;&lt;author&gt;Aleksandra Novikova&lt;/author&gt;&lt;author&gt;Maria Sharmina&lt;/author&gt;&lt;/authors&gt;&lt;/contributors&gt;&lt;titles&gt;&lt;title&gt;Counting good: quantifying the co-benefits of improved efficiency in buildings&lt;/title&gt;&lt;secondary-title&gt;European Council for an Energy Efficient Economy&lt;/secondary-title&gt;&lt;/titles&gt;&lt;dates&gt;&lt;year&gt;2009&lt;/year&gt;&lt;/dates&gt;&lt;urls&gt;&lt;/urls&gt;&lt;custom1&gt;France&lt;/custom1&gt;&lt;/record&gt;&lt;/Cite&gt;&lt;/EndNote&gt;</w:instrText>
      </w:r>
      <w:r w:rsidRPr="008B43F6">
        <w:rPr>
          <w:bCs/>
        </w:rPr>
        <w:fldChar w:fldCharType="separate"/>
      </w:r>
      <w:r w:rsidRPr="008B43F6">
        <w:rPr>
          <w:bCs/>
          <w:noProof/>
        </w:rPr>
        <w:t>[</w:t>
      </w:r>
      <w:hyperlink w:anchor="_ENREF_3" w:tooltip="Ürge-Vorsatz, 2009 #23" w:history="1">
        <w:r w:rsidR="00251C87" w:rsidRPr="008B43F6">
          <w:rPr>
            <w:bCs/>
            <w:noProof/>
          </w:rPr>
          <w:t>3</w:t>
        </w:r>
      </w:hyperlink>
      <w:r w:rsidRPr="008B43F6">
        <w:rPr>
          <w:bCs/>
          <w:noProof/>
        </w:rPr>
        <w:t>]</w:t>
      </w:r>
      <w:r w:rsidRPr="008B43F6">
        <w:rPr>
          <w:bCs/>
        </w:rPr>
        <w:fldChar w:fldCharType="end"/>
      </w:r>
      <w:r w:rsidRPr="008B43F6">
        <w:rPr>
          <w:bCs/>
        </w:rPr>
        <w:t xml:space="preserve">. Los productos y servicios innovadores se traducen en un mayor número de opciones, en servicios mejor adaptados a las necesidades, y en precios más bajos. Esto a su vez puede ocasionar un incremento en la productividad tanto de quienes suministran los servicios, como de quienes los utilizan. La innovación fomenta la competitividad y el crecimiento del mercado </w:t>
      </w:r>
      <w:r w:rsidRPr="008B43F6">
        <w:rPr>
          <w:bCs/>
        </w:rPr>
        <w:fldChar w:fldCharType="begin"/>
      </w:r>
      <w:r w:rsidR="00251C87">
        <w:rPr>
          <w:bCs/>
        </w:rPr>
        <w:instrText xml:space="preserve"> ADDIN EN.CITE &lt;EndNote&gt;&lt;Cite&gt;&lt;Author&gt;Schweitzer&lt;/Author&gt;&lt;Year&gt;2002&lt;/Year&gt;&lt;RecNum&gt;12&lt;/RecNum&gt;&lt;DisplayText&gt;[39, 41]&lt;/DisplayText&gt;&lt;record&gt;&lt;rec-number&gt;12&lt;/rec-number&gt;&lt;foreign-keys&gt;&lt;key app="EN" db-id="w0w9edzzlxxfdgesvf359ft8wzxverspwaav"&gt;12&lt;/key&gt;&lt;/foreign-keys&gt;&lt;ref-type name="Report"&gt;27&lt;/ref-type&gt;&lt;contributors&gt;&lt;authors&gt;&lt;author&gt;Martin Schweitzer&lt;/author&gt;&lt;author&gt;Bruce Tonn&lt;/author&gt;&lt;/authors&gt;&lt;/contributors&gt;&lt;titles&gt;&lt;title&gt;Nonenergy benefits from the weatherization assistance program: a summary of findings from the recent literature&lt;/title&gt;&lt;/titles&gt;&lt;dates&gt;&lt;year&gt;2002&lt;/year&gt;&lt;/dates&gt;&lt;pub-location&gt;Springfield, VA&lt;/pub-location&gt;&lt;publisher&gt;OAK RIDGE NATIONAL LABORATORY&lt;/publisher&gt;&lt;urls&gt;&lt;related-urls&gt;&lt;url&gt;http://weatherization.ornl.gov/pdfs/ORNL_CON-484.pdf&lt;/url&gt;&lt;/related-urls&gt;&lt;/urls&gt;&lt;access-date&gt;09/08/12&lt;/access-date&gt;&lt;/record&gt;&lt;/Cite&gt;&lt;Cite&gt;&lt;Author&gt;Managan&lt;/Author&gt;&lt;Year&gt;2011&lt;/Year&gt;&lt;RecNum&gt;17&lt;/RecNum&gt;&lt;record&gt;&lt;rec-number&gt;17&lt;/rec-number&gt;&lt;foreign-keys&gt;&lt;key app="EN" db-id="w0w9edzzlxxfdgesvf359ft8wzxverspwaav"&gt;17&lt;/key&gt;&lt;/foreign-keys&gt;&lt;ref-type name="Report"&gt;27&lt;/ref-type&gt;&lt;contributors&gt;&lt;authors&gt;&lt;author&gt;Katrina Managan&lt;/author&gt;&lt;author&gt;Jennifer Layke&lt;/author&gt;&lt;author&gt;Monica Araya&lt;/author&gt;&lt;author&gt;Clay Nesler&lt;/author&gt;&lt;/authors&gt;&lt;/contributors&gt;&lt;titles&gt;&lt;title&gt;Driving Transformation to Energy Efficient Buildings Policies and Actions&lt;/title&gt;&lt;/titles&gt;&lt;dates&gt;&lt;year&gt;2011&lt;/year&gt;&lt;/dates&gt;&lt;publisher&gt;Institute for buliding efficiency, Business Council for Sustainable Energy, Center for Clean Air Policy, US Green Building Council and World Green Building Council&lt;/publisher&gt;&lt;urls&gt;&lt;related-urls&gt;&lt;url&gt;http://www.ccap.org/docs/fck/file/Driving%20Transformation%20to%20Energy%20Efficient%20Buildings%20Johnson%20Controls.pdf&lt;/url&gt;&lt;/related-urls&gt;&lt;/urls&gt;&lt;/record&gt;&lt;/Cite&gt;&lt;/EndNote&gt;</w:instrText>
      </w:r>
      <w:r w:rsidRPr="008B43F6">
        <w:rPr>
          <w:bCs/>
        </w:rPr>
        <w:fldChar w:fldCharType="separate"/>
      </w:r>
      <w:r w:rsidR="00251C87">
        <w:rPr>
          <w:bCs/>
          <w:noProof/>
        </w:rPr>
        <w:t>[</w:t>
      </w:r>
      <w:hyperlink w:anchor="_ENREF_39" w:tooltip="Schweitzer, 2002 #12" w:history="1">
        <w:r w:rsidR="00251C87">
          <w:rPr>
            <w:bCs/>
            <w:noProof/>
          </w:rPr>
          <w:t>39</w:t>
        </w:r>
      </w:hyperlink>
      <w:r w:rsidR="00251C87">
        <w:rPr>
          <w:bCs/>
          <w:noProof/>
        </w:rPr>
        <w:t xml:space="preserve">, </w:t>
      </w:r>
      <w:hyperlink w:anchor="_ENREF_41" w:tooltip="Managan, 2011 #17" w:history="1">
        <w:r w:rsidR="00251C87">
          <w:rPr>
            <w:bCs/>
            <w:noProof/>
          </w:rPr>
          <w:t>41</w:t>
        </w:r>
      </w:hyperlink>
      <w:r w:rsidR="00251C87">
        <w:rPr>
          <w:bCs/>
          <w:noProof/>
        </w:rPr>
        <w:t>]</w:t>
      </w:r>
      <w:r w:rsidRPr="008B43F6">
        <w:rPr>
          <w:bCs/>
        </w:rPr>
        <w:fldChar w:fldCharType="end"/>
      </w:r>
      <w:r w:rsidRPr="008B43F6">
        <w:rPr>
          <w:bCs/>
        </w:rPr>
        <w:t>.</w:t>
      </w:r>
    </w:p>
    <w:p w:rsidR="002C0CCF" w:rsidRPr="008B43F6" w:rsidRDefault="002C0CCF" w:rsidP="00EA15E2">
      <w:pPr>
        <w:pStyle w:val="Prrafodelista"/>
        <w:numPr>
          <w:ilvl w:val="0"/>
          <w:numId w:val="20"/>
        </w:numPr>
        <w:jc w:val="both"/>
        <w:rPr>
          <w:b/>
          <w:i/>
          <w:color w:val="4F81BD" w:themeColor="accent1"/>
          <w:sz w:val="24"/>
          <w:szCs w:val="24"/>
        </w:rPr>
      </w:pPr>
      <w:r w:rsidRPr="008B43F6">
        <w:rPr>
          <w:b/>
          <w:i/>
          <w:color w:val="4F81BD" w:themeColor="accent1"/>
          <w:sz w:val="24"/>
          <w:szCs w:val="24"/>
        </w:rPr>
        <w:t>Mejora en la calidad estética de comunidades y edificios</w:t>
      </w:r>
    </w:p>
    <w:p w:rsidR="002C0CCF" w:rsidRPr="008B43F6" w:rsidRDefault="002C0CCF" w:rsidP="00EA15E2">
      <w:pPr>
        <w:jc w:val="both"/>
        <w:rPr>
          <w:bCs/>
        </w:rPr>
      </w:pPr>
      <w:r w:rsidRPr="008B43F6">
        <w:rPr>
          <w:bCs/>
        </w:rPr>
        <w:t xml:space="preserve">Los co-beneficios positivos de los proyectos de eficiencia energética también pueden traducirse en mejoras en la calidad estética de las construcciones </w:t>
      </w:r>
      <w:r w:rsidRPr="008B43F6">
        <w:rPr>
          <w:bCs/>
        </w:rPr>
        <w:fldChar w:fldCharType="begin"/>
      </w:r>
      <w:r w:rsidR="00251C87">
        <w:rPr>
          <w:bCs/>
        </w:rPr>
        <w:instrText xml:space="preserve"> ADDIN EN.CITE &lt;EndNote&gt;&lt;Cite&gt;&lt;Author&gt;Schweitzer&lt;/Author&gt;&lt;Year&gt;2002&lt;/Year&gt;&lt;RecNum&gt;12&lt;/RecNum&gt;&lt;DisplayText&gt;[39, 41]&lt;/DisplayText&gt;&lt;record&gt;&lt;rec-number&gt;12&lt;/rec-number&gt;&lt;foreign-keys&gt;&lt;key app="EN" db-id="w0w9edzzlxxfdgesvf359ft8wzxverspwaav"&gt;12&lt;/key&gt;&lt;/foreign-keys&gt;&lt;ref-type name="Report"&gt;27&lt;/ref-type&gt;&lt;contributors&gt;&lt;authors&gt;&lt;author&gt;Martin Schweitzer&lt;/author&gt;&lt;author&gt;Bruce Tonn&lt;/author&gt;&lt;/authors&gt;&lt;/contributors&gt;&lt;titles&gt;&lt;title&gt;Nonenergy benefits from the weatherization assistance program: a summary of findings from the recent literature&lt;/title&gt;&lt;/titles&gt;&lt;dates&gt;&lt;year&gt;2002&lt;/year&gt;&lt;/dates&gt;&lt;pub-location&gt;Springfield, VA&lt;/pub-location&gt;&lt;publisher&gt;OAK RIDGE NATIONAL LABORATORY&lt;/publisher&gt;&lt;urls&gt;&lt;related-urls&gt;&lt;url&gt;http://weatherization.ornl.gov/pdfs/ORNL_CON-484.pdf&lt;/url&gt;&lt;/related-urls&gt;&lt;/urls&gt;&lt;access-date&gt;09/08/12&lt;/access-date&gt;&lt;/record&gt;&lt;/Cite&gt;&lt;Cite&gt;&lt;Author&gt;Managan&lt;/Author&gt;&lt;Year&gt;2011&lt;/Year&gt;&lt;RecNum&gt;17&lt;/RecNum&gt;&lt;record&gt;&lt;rec-number&gt;17&lt;/rec-number&gt;&lt;foreign-keys&gt;&lt;key app="EN" db-id="w0w9edzzlxxfdgesvf359ft8wzxverspwaav"&gt;17&lt;/key&gt;&lt;/foreign-keys&gt;&lt;ref-type name="Report"&gt;27&lt;/ref-type&gt;&lt;contributors&gt;&lt;authors&gt;&lt;author&gt;Katrina Managan&lt;/author&gt;&lt;author&gt;Jennifer Layke&lt;/author&gt;&lt;author&gt;Monica Araya&lt;/author&gt;&lt;author&gt;Clay Nesler&lt;/author&gt;&lt;/authors&gt;&lt;/contributors&gt;&lt;titles&gt;&lt;title&gt;Driving Transformation to Energy Efficient Buildings Policies and Actions&lt;/title&gt;&lt;/titles&gt;&lt;dates&gt;&lt;year&gt;2011&lt;/year&gt;&lt;/dates&gt;&lt;publisher&gt;Institute for buliding efficiency, Business Council for Sustainable Energy, Center for Clean Air Policy, US Green Building Council and World Green Building Council&lt;/publisher&gt;&lt;urls&gt;&lt;related-urls&gt;&lt;url&gt;http://www.ccap.org/docs/fck/file/Driving%20Transformation%20to%20Energy%20Efficient%20Buildings%20Johnson%20Controls.pdf&lt;/url&gt;&lt;/related-urls&gt;&lt;/urls&gt;&lt;/record&gt;&lt;/Cite&gt;&lt;/EndNote&gt;</w:instrText>
      </w:r>
      <w:r w:rsidRPr="008B43F6">
        <w:rPr>
          <w:bCs/>
        </w:rPr>
        <w:fldChar w:fldCharType="separate"/>
      </w:r>
      <w:r w:rsidR="00251C87">
        <w:rPr>
          <w:bCs/>
          <w:noProof/>
        </w:rPr>
        <w:t>[</w:t>
      </w:r>
      <w:hyperlink w:anchor="_ENREF_39" w:tooltip="Schweitzer, 2002 #12" w:history="1">
        <w:r w:rsidR="00251C87">
          <w:rPr>
            <w:bCs/>
            <w:noProof/>
          </w:rPr>
          <w:t>39</w:t>
        </w:r>
      </w:hyperlink>
      <w:r w:rsidR="00251C87">
        <w:rPr>
          <w:bCs/>
          <w:noProof/>
        </w:rPr>
        <w:t xml:space="preserve">, </w:t>
      </w:r>
      <w:hyperlink w:anchor="_ENREF_41" w:tooltip="Managan, 2011 #17" w:history="1">
        <w:r w:rsidR="00251C87">
          <w:rPr>
            <w:bCs/>
            <w:noProof/>
          </w:rPr>
          <w:t>41</w:t>
        </w:r>
      </w:hyperlink>
      <w:r w:rsidR="00251C87">
        <w:rPr>
          <w:bCs/>
          <w:noProof/>
        </w:rPr>
        <w:t>]</w:t>
      </w:r>
      <w:r w:rsidRPr="008B43F6">
        <w:rPr>
          <w:bCs/>
        </w:rPr>
        <w:fldChar w:fldCharType="end"/>
      </w:r>
      <w:r w:rsidRPr="008B43F6">
        <w:rPr>
          <w:bCs/>
        </w:rPr>
        <w:t>.</w:t>
      </w:r>
    </w:p>
    <w:p w:rsidR="002C0CCF" w:rsidRPr="008B43F6" w:rsidRDefault="002C0CCF" w:rsidP="00EA15E2">
      <w:pPr>
        <w:pStyle w:val="Prrafodelista"/>
        <w:numPr>
          <w:ilvl w:val="0"/>
          <w:numId w:val="20"/>
        </w:numPr>
        <w:jc w:val="both"/>
        <w:rPr>
          <w:b/>
          <w:i/>
          <w:color w:val="4F81BD" w:themeColor="accent1"/>
          <w:sz w:val="24"/>
          <w:szCs w:val="24"/>
        </w:rPr>
      </w:pPr>
      <w:r w:rsidRPr="008B43F6">
        <w:rPr>
          <w:b/>
          <w:i/>
          <w:color w:val="4F81BD" w:themeColor="accent1"/>
          <w:sz w:val="24"/>
          <w:szCs w:val="24"/>
        </w:rPr>
        <w:t xml:space="preserve">Mejora en la productividad </w:t>
      </w:r>
    </w:p>
    <w:p w:rsidR="002C0CCF" w:rsidRPr="008B43F6" w:rsidRDefault="002C0CCF" w:rsidP="00EA15E2">
      <w:pPr>
        <w:jc w:val="both"/>
        <w:rPr>
          <w:bCs/>
        </w:rPr>
      </w:pPr>
      <w:r w:rsidRPr="008B43F6">
        <w:rPr>
          <w:bCs/>
        </w:rPr>
        <w:t xml:space="preserve">Se pueden obtener ganancias como consecuencia del surgimiento de nuevas oportunidades de negocio y de la creación de empleos. Por lo general los edificios energéticamente eficientes </w:t>
      </w:r>
      <w:r w:rsidRPr="008B43F6">
        <w:rPr>
          <w:bCs/>
        </w:rPr>
        <w:lastRenderedPageBreak/>
        <w:t xml:space="preserve">representan para sus ocupantes co-beneficios que se traducen en mejores condiciones de salud y de productividad. Cuando los adultos tienen menos resfriados, eso significa que también se reduce el número de días de trabajo perdidos y la consiguiente pérdida de salario. Además, cuando los niños están enfermos, los padres o tutores a menudo tienen que faltar al trabajo para cuidar de ellos, otra vez a costa de salarios caídos </w:t>
      </w:r>
      <w:r w:rsidRPr="008B43F6">
        <w:rPr>
          <w:bCs/>
        </w:rPr>
        <w:fldChar w:fldCharType="begin"/>
      </w:r>
      <w:r w:rsidR="00251C87">
        <w:rPr>
          <w:bCs/>
        </w:rPr>
        <w:instrText xml:space="preserve"> ADDIN EN.CITE &lt;EndNote&gt;&lt;Cite&gt;&lt;Author&gt;Schweitzer&lt;/Author&gt;&lt;Year&gt;2002&lt;/Year&gt;&lt;RecNum&gt;12&lt;/RecNum&gt;&lt;DisplayText&gt;[39]&lt;/DisplayText&gt;&lt;record&gt;&lt;rec-number&gt;12&lt;/rec-number&gt;&lt;foreign-keys&gt;&lt;key app="EN" db-id="w0w9edzzlxxfdgesvf359ft8wzxverspwaav"&gt;12&lt;/key&gt;&lt;/foreign-keys&gt;&lt;ref-type name="Report"&gt;27&lt;/ref-type&gt;&lt;contributors&gt;&lt;authors&gt;&lt;author&gt;Martin Schweitzer&lt;/author&gt;&lt;author&gt;Bruce Tonn&lt;/author&gt;&lt;/authors&gt;&lt;/contributors&gt;&lt;titles&gt;&lt;title&gt;Nonenergy benefits from the weatherization assistance program: a summary of findings from the recent literature&lt;/title&gt;&lt;/titles&gt;&lt;dates&gt;&lt;year&gt;2002&lt;/year&gt;&lt;/dates&gt;&lt;pub-location&gt;Springfield, VA&lt;/pub-location&gt;&lt;publisher&gt;OAK RIDGE NATIONAL LABORATORY&lt;/publisher&gt;&lt;urls&gt;&lt;related-urls&gt;&lt;url&gt;http://weatherization.ornl.gov/pdfs/ORNL_CON-484.pdf&lt;/url&gt;&lt;/related-urls&gt;&lt;/urls&gt;&lt;access-date&gt;09/08/12&lt;/access-date&gt;&lt;/record&gt;&lt;/Cite&gt;&lt;/EndNote&gt;</w:instrText>
      </w:r>
      <w:r w:rsidRPr="008B43F6">
        <w:rPr>
          <w:bCs/>
        </w:rPr>
        <w:fldChar w:fldCharType="separate"/>
      </w:r>
      <w:r w:rsidR="00251C87">
        <w:rPr>
          <w:bCs/>
          <w:noProof/>
        </w:rPr>
        <w:t>[</w:t>
      </w:r>
      <w:hyperlink w:anchor="_ENREF_39" w:tooltip="Schweitzer, 2002 #12" w:history="1">
        <w:r w:rsidR="00251C87">
          <w:rPr>
            <w:bCs/>
            <w:noProof/>
          </w:rPr>
          <w:t>39</w:t>
        </w:r>
      </w:hyperlink>
      <w:r w:rsidR="00251C87">
        <w:rPr>
          <w:bCs/>
          <w:noProof/>
        </w:rPr>
        <w:t>]</w:t>
      </w:r>
      <w:r w:rsidRPr="008B43F6">
        <w:rPr>
          <w:bCs/>
        </w:rPr>
        <w:fldChar w:fldCharType="end"/>
      </w:r>
      <w:r w:rsidRPr="008B43F6">
        <w:rPr>
          <w:bCs/>
        </w:rPr>
        <w:t xml:space="preserve">. </w:t>
      </w:r>
    </w:p>
    <w:p w:rsidR="002C0CCF" w:rsidRPr="008B43F6" w:rsidRDefault="002C0CCF" w:rsidP="00EA15E2">
      <w:pPr>
        <w:pStyle w:val="Prrafodelista"/>
        <w:numPr>
          <w:ilvl w:val="0"/>
          <w:numId w:val="20"/>
        </w:numPr>
        <w:jc w:val="both"/>
        <w:rPr>
          <w:b/>
          <w:i/>
          <w:color w:val="4F81BD" w:themeColor="accent1"/>
          <w:sz w:val="24"/>
          <w:szCs w:val="24"/>
        </w:rPr>
      </w:pPr>
      <w:r w:rsidRPr="008B43F6">
        <w:rPr>
          <w:b/>
          <w:i/>
          <w:color w:val="4F81BD" w:themeColor="accent1"/>
          <w:sz w:val="24"/>
          <w:szCs w:val="24"/>
        </w:rPr>
        <w:t>Se evitan los subsidios a las tarifas</w:t>
      </w:r>
    </w:p>
    <w:p w:rsidR="002C0CCF" w:rsidRPr="008B43F6" w:rsidRDefault="002C0CCF" w:rsidP="00EA15E2">
      <w:pPr>
        <w:jc w:val="both"/>
        <w:rPr>
          <w:bCs/>
        </w:rPr>
      </w:pPr>
      <w:r w:rsidRPr="008B43F6">
        <w:rPr>
          <w:bCs/>
        </w:rPr>
        <w:t>Los ahorros originados por las medidas de eficiencia energética también tienden a provocar una disminución en la venta de unidades de energía subvencionada. En la mayoría de los países en desarrollo los servicios de suministro de energía para la población están fuertemente subsidiados. Si se utiliza la energía de manera más eficiente, los subsidios se pueden evitar sustancialmente.</w:t>
      </w:r>
    </w:p>
    <w:p w:rsidR="002C0CCF" w:rsidRPr="008B43F6" w:rsidRDefault="002C0CCF" w:rsidP="00EA15E2">
      <w:pPr>
        <w:jc w:val="both"/>
        <w:rPr>
          <w:bCs/>
        </w:rPr>
      </w:pPr>
      <w:r w:rsidRPr="008B43F6">
        <w:rPr>
          <w:iCs/>
          <w:color w:val="000000"/>
        </w:rPr>
        <w:t xml:space="preserve">Incluso en los países desarrollados, muchas instituciones públicas de suministro de agua, gas y electricidad cuentan con tarifas subsidiadas para sus clientes de bajos recursos. En consecuencia, cada unidad de energía consumida por este tipo de clientes representa un gasto para dichas instituciones y para sus otros clientes, cuyos pagos ayudan a subsidiar las tarifas con descuentos. Cuando se ve reducida la cantidad de energía utilizada por los clientes de bajos recursos a consecuencia de un programa de eficiencia energética, disminuye la venta de unidades de energía subvencionada y tanto las instituciones de suministro como sus otros clientes ahorran dinero </w:t>
      </w:r>
      <w:r w:rsidRPr="008B43F6">
        <w:rPr>
          <w:bCs/>
        </w:rPr>
        <w:fldChar w:fldCharType="begin"/>
      </w:r>
      <w:r w:rsidR="00251C87">
        <w:rPr>
          <w:bCs/>
        </w:rPr>
        <w:instrText xml:space="preserve"> ADDIN EN.CITE &lt;EndNote&gt;&lt;Cite&gt;&lt;Author&gt;Schweitzer&lt;/Author&gt;&lt;Year&gt;2002&lt;/Year&gt;&lt;RecNum&gt;12&lt;/RecNum&gt;&lt;DisplayText&gt;[36, 39]&lt;/DisplayText&gt;&lt;record&gt;&lt;rec-number&gt;12&lt;/rec-number&gt;&lt;foreign-keys&gt;&lt;key app="EN" db-id="w0w9edzzlxxfdgesvf359ft8wzxverspwaav"&gt;12&lt;/key&gt;&lt;/foreign-keys&gt;&lt;ref-type name="Report"&gt;27&lt;/ref-type&gt;&lt;contributors&gt;&lt;authors&gt;&lt;author&gt;Martin Schweitzer&lt;/author&gt;&lt;author&gt;Bruce Tonn&lt;/author&gt;&lt;/authors&gt;&lt;/contributors&gt;&lt;titles&gt;&lt;title&gt;Nonenergy benefits from the weatherization assistance program: a summary of findings from the recent literature&lt;/title&gt;&lt;/titles&gt;&lt;dates&gt;&lt;year&gt;2002&lt;/year&gt;&lt;/dates&gt;&lt;pub-location&gt;Springfield, VA&lt;/pub-location&gt;&lt;publisher&gt;OAK RIDGE NATIONAL LABORATORY&lt;/publisher&gt;&lt;urls&gt;&lt;related-urls&gt;&lt;url&gt;http://weatherization.ornl.gov/pdfs/ORNL_CON-484.pdf&lt;/url&gt;&lt;/related-urls&gt;&lt;/urls&gt;&lt;access-date&gt;09/08/12&lt;/access-date&gt;&lt;/record&gt;&lt;/Cite&gt;&lt;Cite&gt;&lt;Author&gt;Heffner&lt;/Author&gt;&lt;Year&gt;2011&lt;/Year&gt;&lt;RecNum&gt;14&lt;/RecNum&gt;&lt;record&gt;&lt;rec-number&gt;14&lt;/rec-number&gt;&lt;foreign-keys&gt;&lt;key app="EN" db-id="w0w9edzzlxxfdgesvf359ft8wzxverspwaav"&gt;14&lt;/key&gt;&lt;/foreign-keys&gt;&lt;ref-type name="Report"&gt;27&lt;/ref-type&gt;&lt;contributors&gt;&lt;authors&gt;&lt;author&gt;Grayson Heffner&lt;/author&gt;&lt;author&gt;Nina Campbell&lt;/author&gt;&lt;/authors&gt;&lt;/contributors&gt;&lt;titles&gt;&lt;title&gt;Evaluating the co-benefits of  low-income energy-efficiency programmes. Results of the Dublin Workshop, 27-28 January 2011&lt;/title&gt;&lt;/titles&gt;&lt;dates&gt;&lt;year&gt;2011&lt;/year&gt;&lt;/dates&gt;&lt;publisher&gt;International Energy Agency&lt;/publisher&gt;&lt;urls&gt;&lt;related-urls&gt;&lt;url&gt;http://www.iea.org/publications/freepublications/publication/low_income_energy_efficiency.pdf&lt;/url&gt;&lt;/related-urls&gt;&lt;/urls&gt;&lt;/record&gt;&lt;/Cite&gt;&lt;/EndNote&gt;</w:instrText>
      </w:r>
      <w:r w:rsidRPr="008B43F6">
        <w:rPr>
          <w:bCs/>
        </w:rPr>
        <w:fldChar w:fldCharType="separate"/>
      </w:r>
      <w:r w:rsidR="00251C87">
        <w:rPr>
          <w:bCs/>
          <w:noProof/>
        </w:rPr>
        <w:t>[</w:t>
      </w:r>
      <w:hyperlink w:anchor="_ENREF_36" w:tooltip="Heffner, 2011 #14" w:history="1">
        <w:r w:rsidR="00251C87">
          <w:rPr>
            <w:bCs/>
            <w:noProof/>
          </w:rPr>
          <w:t>36</w:t>
        </w:r>
      </w:hyperlink>
      <w:r w:rsidR="00251C87">
        <w:rPr>
          <w:bCs/>
          <w:noProof/>
        </w:rPr>
        <w:t xml:space="preserve">, </w:t>
      </w:r>
      <w:hyperlink w:anchor="_ENREF_39" w:tooltip="Schweitzer, 2002 #12" w:history="1">
        <w:r w:rsidR="00251C87">
          <w:rPr>
            <w:bCs/>
            <w:noProof/>
          </w:rPr>
          <w:t>39</w:t>
        </w:r>
      </w:hyperlink>
      <w:r w:rsidR="00251C87">
        <w:rPr>
          <w:bCs/>
          <w:noProof/>
        </w:rPr>
        <w:t>]</w:t>
      </w:r>
      <w:r w:rsidRPr="008B43F6">
        <w:rPr>
          <w:bCs/>
        </w:rPr>
        <w:fldChar w:fldCharType="end"/>
      </w:r>
      <w:r w:rsidRPr="008B43F6">
        <w:rPr>
          <w:bCs/>
        </w:rPr>
        <w:t>.</w:t>
      </w:r>
    </w:p>
    <w:p w:rsidR="002C0CCF" w:rsidRPr="008B43F6" w:rsidRDefault="002C0CCF" w:rsidP="00EA15E2">
      <w:pPr>
        <w:pStyle w:val="Prrafodelista"/>
        <w:numPr>
          <w:ilvl w:val="0"/>
          <w:numId w:val="20"/>
        </w:numPr>
        <w:jc w:val="both"/>
        <w:rPr>
          <w:b/>
          <w:i/>
          <w:color w:val="4F81BD" w:themeColor="accent1"/>
          <w:sz w:val="24"/>
          <w:szCs w:val="24"/>
        </w:rPr>
      </w:pPr>
      <w:r w:rsidRPr="008B43F6">
        <w:rPr>
          <w:b/>
          <w:i/>
          <w:color w:val="4F81BD" w:themeColor="accent1"/>
          <w:sz w:val="24"/>
          <w:szCs w:val="24"/>
        </w:rPr>
        <w:t xml:space="preserve">Ahorros por concepto de agua y drenaje </w:t>
      </w:r>
    </w:p>
    <w:p w:rsidR="002C0CCF" w:rsidRPr="008B43F6" w:rsidRDefault="002C0CCF" w:rsidP="00EA15E2">
      <w:pPr>
        <w:jc w:val="both"/>
        <w:rPr>
          <w:bCs/>
        </w:rPr>
      </w:pPr>
      <w:r w:rsidRPr="008B43F6">
        <w:rPr>
          <w:bCs/>
        </w:rPr>
        <w:t xml:space="preserve">A menudo, muchos hogares reciben regaderas de bajo flujo y aireadores adaptables para llaves de agua, como parte del paquete instalado de dispositivos de eficiencia energética. Además de ahorrar energía, estos dispositivos reducen el consumo doméstico de agua (por lo que también conlleva un beneficio ambiental). Por lo tanto, los hogares que reciben estos servicios ahorran dinero en sus facturas de agua y, debido a que los cargos por servicio de alcantarillado generalmente se basan en la cantidad correspondiente al consumo de agua, las facturas por el citado servicio también se reducen </w:t>
      </w:r>
      <w:r w:rsidRPr="008B43F6">
        <w:rPr>
          <w:bCs/>
        </w:rPr>
        <w:fldChar w:fldCharType="begin"/>
      </w:r>
      <w:r w:rsidR="00251C87">
        <w:rPr>
          <w:bCs/>
        </w:rPr>
        <w:instrText xml:space="preserve"> ADDIN EN.CITE &lt;EndNote&gt;&lt;Cite&gt;&lt;Author&gt;Schweitzer&lt;/Author&gt;&lt;Year&gt;2002&lt;/Year&gt;&lt;RecNum&gt;12&lt;/RecNum&gt;&lt;DisplayText&gt;[39]&lt;/DisplayText&gt;&lt;record&gt;&lt;rec-number&gt;12&lt;/rec-number&gt;&lt;foreign-keys&gt;&lt;key app="EN" db-id="w0w9edzzlxxfdgesvf359ft8wzxverspwaav"&gt;12&lt;/key&gt;&lt;/foreign-keys&gt;&lt;ref-type name="Report"&gt;27&lt;/ref-type&gt;&lt;contributors&gt;&lt;authors&gt;&lt;author&gt;Martin Schweitzer&lt;/author&gt;&lt;author&gt;Bruce Tonn&lt;/author&gt;&lt;/authors&gt;&lt;/contributors&gt;&lt;titles&gt;&lt;title&gt;Nonenergy benefits from the weatherization assistance program: a summary of findings from the recent literature&lt;/title&gt;&lt;/titles&gt;&lt;dates&gt;&lt;year&gt;2002&lt;/year&gt;&lt;/dates&gt;&lt;pub-location&gt;Springfield, VA&lt;/pub-location&gt;&lt;publisher&gt;OAK RIDGE NATIONAL LABORATORY&lt;/publisher&gt;&lt;urls&gt;&lt;related-urls&gt;&lt;url&gt;http://weatherization.ornl.gov/pdfs/ORNL_CON-484.pdf&lt;/url&gt;&lt;/related-urls&gt;&lt;/urls&gt;&lt;access-date&gt;09/08/12&lt;/access-date&gt;&lt;/record&gt;&lt;/Cite&gt;&lt;/EndNote&gt;</w:instrText>
      </w:r>
      <w:r w:rsidRPr="008B43F6">
        <w:rPr>
          <w:bCs/>
        </w:rPr>
        <w:fldChar w:fldCharType="separate"/>
      </w:r>
      <w:r w:rsidR="00251C87">
        <w:rPr>
          <w:bCs/>
          <w:noProof/>
        </w:rPr>
        <w:t>[</w:t>
      </w:r>
      <w:hyperlink w:anchor="_ENREF_39" w:tooltip="Schweitzer, 2002 #12" w:history="1">
        <w:r w:rsidR="00251C87">
          <w:rPr>
            <w:bCs/>
            <w:noProof/>
          </w:rPr>
          <w:t>39</w:t>
        </w:r>
      </w:hyperlink>
      <w:r w:rsidR="00251C87">
        <w:rPr>
          <w:bCs/>
          <w:noProof/>
        </w:rPr>
        <w:t>]</w:t>
      </w:r>
      <w:r w:rsidRPr="008B43F6">
        <w:rPr>
          <w:bCs/>
        </w:rPr>
        <w:fldChar w:fldCharType="end"/>
      </w:r>
      <w:r w:rsidRPr="008B43F6">
        <w:rPr>
          <w:bCs/>
        </w:rPr>
        <w:t>.</w:t>
      </w:r>
    </w:p>
    <w:p w:rsidR="002C0CCF" w:rsidRPr="008B43F6" w:rsidRDefault="002C0CCF" w:rsidP="00EA15E2">
      <w:pPr>
        <w:pStyle w:val="Prrafodelista"/>
        <w:numPr>
          <w:ilvl w:val="0"/>
          <w:numId w:val="20"/>
        </w:numPr>
        <w:jc w:val="both"/>
        <w:rPr>
          <w:b/>
          <w:i/>
          <w:color w:val="4F81BD" w:themeColor="accent1"/>
          <w:sz w:val="24"/>
          <w:szCs w:val="24"/>
        </w:rPr>
      </w:pPr>
      <w:r w:rsidRPr="008B43F6">
        <w:rPr>
          <w:b/>
          <w:i/>
          <w:color w:val="4F81BD" w:themeColor="accent1"/>
          <w:sz w:val="24"/>
          <w:szCs w:val="24"/>
        </w:rPr>
        <w:t>Aumentos en la recaudación de impuestos federales</w:t>
      </w:r>
    </w:p>
    <w:p w:rsidR="002C0CCF" w:rsidRPr="008B43F6" w:rsidRDefault="002C0CCF" w:rsidP="00EA15E2">
      <w:pPr>
        <w:jc w:val="both"/>
        <w:rPr>
          <w:bCs/>
        </w:rPr>
      </w:pPr>
      <w:r w:rsidRPr="008B43F6">
        <w:rPr>
          <w:bCs/>
        </w:rPr>
        <w:t xml:space="preserve">Los nuevos puestos de trabajo y los aumentos en el ingreso personal pueden traducirse en aumentos en las recaudaciones de impuestos sobre la renta a nivel federal </w:t>
      </w:r>
      <w:r w:rsidRPr="008B43F6">
        <w:rPr>
          <w:bCs/>
        </w:rPr>
        <w:fldChar w:fldCharType="begin"/>
      </w:r>
      <w:r w:rsidR="00251C87">
        <w:rPr>
          <w:bCs/>
        </w:rPr>
        <w:instrText xml:space="preserve"> ADDIN EN.CITE &lt;EndNote&gt;&lt;Cite&gt;&lt;Author&gt;Schweitzer&lt;/Author&gt;&lt;Year&gt;2002&lt;/Year&gt;&lt;RecNum&gt;12&lt;/RecNum&gt;&lt;DisplayText&gt;[36, 39]&lt;/DisplayText&gt;&lt;record&gt;&lt;rec-number&gt;12&lt;/rec-number&gt;&lt;foreign-keys&gt;&lt;key app="EN" db-id="w0w9edzzlxxfdgesvf359ft8wzxverspwaav"&gt;12&lt;/key&gt;&lt;/foreign-keys&gt;&lt;ref-type name="Report"&gt;27&lt;/ref-type&gt;&lt;contributors&gt;&lt;authors&gt;&lt;author&gt;Martin Schweitzer&lt;/author&gt;&lt;author&gt;Bruce Tonn&lt;/author&gt;&lt;/authors&gt;&lt;/contributors&gt;&lt;titles&gt;&lt;title&gt;Nonenergy benefits from the weatherization assistance program: a summary of findings from the recent literature&lt;/title&gt;&lt;/titles&gt;&lt;dates&gt;&lt;year&gt;2002&lt;/year&gt;&lt;/dates&gt;&lt;pub-location&gt;Springfield, VA&lt;/pub-location&gt;&lt;publisher&gt;OAK RIDGE NATIONAL LABORATORY&lt;/publisher&gt;&lt;urls&gt;&lt;related-urls&gt;&lt;url&gt;http://weatherization.ornl.gov/pdfs/ORNL_CON-484.pdf&lt;/url&gt;&lt;/related-urls&gt;&lt;/urls&gt;&lt;access-date&gt;09/08/12&lt;/access-date&gt;&lt;/record&gt;&lt;/Cite&gt;&lt;Cite&gt;&lt;Author&gt;Heffner&lt;/Author&gt;&lt;Year&gt;2011&lt;/Year&gt;&lt;RecNum&gt;14&lt;/RecNum&gt;&lt;record&gt;&lt;rec-number&gt;14&lt;/rec-number&gt;&lt;foreign-keys&gt;&lt;key app="EN" db-id="w0w9edzzlxxfdgesvf359ft8wzxverspwaav"&gt;14&lt;/key&gt;&lt;/foreign-keys&gt;&lt;ref-type name="Report"&gt;27&lt;/ref-type&gt;&lt;contributors&gt;&lt;authors&gt;&lt;author&gt;Grayson Heffner&lt;/author&gt;&lt;author&gt;Nina Campbell&lt;/author&gt;&lt;/authors&gt;&lt;/contributors&gt;&lt;titles&gt;&lt;title&gt;Evaluating the co-benefits of  low-income energy-efficiency programmes. Results of the Dublin Workshop, 27-28 January 2011&lt;/title&gt;&lt;/titles&gt;&lt;dates&gt;&lt;year&gt;2011&lt;/year&gt;&lt;/dates&gt;&lt;publisher&gt;International Energy Agency&lt;/publisher&gt;&lt;urls&gt;&lt;related-urls&gt;&lt;url&gt;http://www.iea.org/publications/freepublications/publication/low_income_energy_efficiency.pdf&lt;/url&gt;&lt;/related-urls&gt;&lt;/urls&gt;&lt;/record&gt;&lt;/Cite&gt;&lt;/EndNote&gt;</w:instrText>
      </w:r>
      <w:r w:rsidRPr="008B43F6">
        <w:rPr>
          <w:bCs/>
        </w:rPr>
        <w:fldChar w:fldCharType="separate"/>
      </w:r>
      <w:r w:rsidR="00251C87">
        <w:rPr>
          <w:bCs/>
          <w:noProof/>
        </w:rPr>
        <w:t>[</w:t>
      </w:r>
      <w:hyperlink w:anchor="_ENREF_36" w:tooltip="Heffner, 2011 #14" w:history="1">
        <w:r w:rsidR="00251C87">
          <w:rPr>
            <w:bCs/>
            <w:noProof/>
          </w:rPr>
          <w:t>36</w:t>
        </w:r>
      </w:hyperlink>
      <w:r w:rsidR="00251C87">
        <w:rPr>
          <w:bCs/>
          <w:noProof/>
        </w:rPr>
        <w:t xml:space="preserve">, </w:t>
      </w:r>
      <w:hyperlink w:anchor="_ENREF_39" w:tooltip="Schweitzer, 2002 #12" w:history="1">
        <w:r w:rsidR="00251C87">
          <w:rPr>
            <w:bCs/>
            <w:noProof/>
          </w:rPr>
          <w:t>39</w:t>
        </w:r>
      </w:hyperlink>
      <w:r w:rsidR="00251C87">
        <w:rPr>
          <w:bCs/>
          <w:noProof/>
        </w:rPr>
        <w:t>]</w:t>
      </w:r>
      <w:r w:rsidRPr="008B43F6">
        <w:rPr>
          <w:bCs/>
        </w:rPr>
        <w:fldChar w:fldCharType="end"/>
      </w:r>
      <w:r w:rsidRPr="008B43F6">
        <w:rPr>
          <w:bCs/>
        </w:rPr>
        <w:t>.</w:t>
      </w:r>
    </w:p>
    <w:p w:rsidR="002C0CCF" w:rsidRPr="008B43F6" w:rsidRDefault="002C0CCF" w:rsidP="00EA15E2">
      <w:pPr>
        <w:pStyle w:val="Prrafodelista"/>
        <w:numPr>
          <w:ilvl w:val="0"/>
          <w:numId w:val="20"/>
        </w:numPr>
        <w:jc w:val="both"/>
        <w:rPr>
          <w:b/>
          <w:i/>
          <w:color w:val="4F81BD" w:themeColor="accent1"/>
          <w:sz w:val="24"/>
          <w:szCs w:val="24"/>
        </w:rPr>
      </w:pPr>
      <w:r w:rsidRPr="008B43F6">
        <w:rPr>
          <w:b/>
          <w:i/>
          <w:color w:val="4F81BD" w:themeColor="accent1"/>
          <w:sz w:val="24"/>
          <w:szCs w:val="24"/>
        </w:rPr>
        <w:t>Ahorro en los costos para reducir la contaminación del aire y controlar la calidad del aire</w:t>
      </w:r>
    </w:p>
    <w:p w:rsidR="002C0CCF" w:rsidRPr="008B43F6" w:rsidRDefault="002C0CCF" w:rsidP="00EA15E2">
      <w:pPr>
        <w:jc w:val="both"/>
        <w:rPr>
          <w:bCs/>
        </w:rPr>
      </w:pPr>
      <w:r w:rsidRPr="008B43F6">
        <w:rPr>
          <w:bCs/>
        </w:rPr>
        <w:t xml:space="preserve">Al mejorar la calidad del aire, también se reducen los gastos por concepto de dispositivos costosos para el control de la calidad del aire, tecnología para abatir la contaminación </w:t>
      </w:r>
      <w:r w:rsidRPr="008B43F6">
        <w:rPr>
          <w:bCs/>
        </w:rPr>
        <w:fldChar w:fldCharType="begin"/>
      </w:r>
      <w:r w:rsidR="00251C87">
        <w:rPr>
          <w:bCs/>
        </w:rPr>
        <w:instrText xml:space="preserve"> ADDIN EN.CITE &lt;EndNote&gt;&lt;Cite&gt;&lt;Author&gt;Nemet&lt;/Author&gt;&lt;Year&gt;2010&lt;/Year&gt;&lt;RecNum&gt;22&lt;/RecNum&gt;&lt;DisplayText&gt;[42]&lt;/DisplayText&gt;&lt;record&gt;&lt;rec-number&gt;22&lt;/rec-number&gt;&lt;foreign-keys&gt;&lt;key app="EN" db-id="w0w9edzzlxxfdgesvf359ft8wzxverspwaav"&gt;22&lt;/key&gt;&lt;/foreign-keys&gt;&lt;ref-type name="Journal Article"&gt;17&lt;/ref-type&gt;&lt;contributors&gt;&lt;authors&gt;&lt;author&gt;G F Nemet&lt;/author&gt;&lt;author&gt;T Holloway&lt;/author&gt;&lt;author&gt;P Meier&lt;/author&gt;&lt;/authors&gt;&lt;/contributors&gt;&lt;titles&gt;&lt;title&gt;Implications of incorporating air quality co-benefits into climate change policy making&lt;/title&gt;&lt;secondary-title&gt;Environmental Research Letters&lt;/secondary-title&gt;&lt;/titles&gt;&lt;periodical&gt;&lt;full-title&gt;Environmental Research Letters&lt;/full-title&gt;&lt;/periodical&gt;&lt;number&gt;5&lt;/number&gt;&lt;dates&gt;&lt;year&gt;2010&lt;/year&gt;&lt;/dates&gt;&lt;urls&gt;&lt;/urls&gt;&lt;/record&gt;&lt;/Cite&gt;&lt;/EndNote&gt;</w:instrText>
      </w:r>
      <w:r w:rsidRPr="008B43F6">
        <w:rPr>
          <w:bCs/>
        </w:rPr>
        <w:fldChar w:fldCharType="separate"/>
      </w:r>
      <w:r w:rsidR="00251C87">
        <w:rPr>
          <w:bCs/>
          <w:noProof/>
        </w:rPr>
        <w:t>[</w:t>
      </w:r>
      <w:hyperlink w:anchor="_ENREF_42" w:tooltip="Nemet, 2010 #22" w:history="1">
        <w:r w:rsidR="00251C87">
          <w:rPr>
            <w:bCs/>
            <w:noProof/>
          </w:rPr>
          <w:t>42</w:t>
        </w:r>
      </w:hyperlink>
      <w:r w:rsidR="00251C87">
        <w:rPr>
          <w:bCs/>
          <w:noProof/>
        </w:rPr>
        <w:t>]</w:t>
      </w:r>
      <w:r w:rsidRPr="008B43F6">
        <w:rPr>
          <w:bCs/>
        </w:rPr>
        <w:fldChar w:fldCharType="end"/>
      </w:r>
      <w:r w:rsidRPr="008B43F6">
        <w:rPr>
          <w:bCs/>
        </w:rPr>
        <w:t>.</w:t>
      </w:r>
    </w:p>
    <w:p w:rsidR="002C0CCF" w:rsidRPr="008B43F6" w:rsidRDefault="002C0CCF" w:rsidP="00EA15E2">
      <w:pPr>
        <w:jc w:val="both"/>
        <w:rPr>
          <w:b/>
          <w:sz w:val="26"/>
          <w:szCs w:val="26"/>
        </w:rPr>
      </w:pPr>
      <w:r w:rsidRPr="008B43F6">
        <w:rPr>
          <w:b/>
          <w:sz w:val="26"/>
          <w:szCs w:val="26"/>
        </w:rPr>
        <w:t xml:space="preserve"> </w:t>
      </w:r>
      <w:r w:rsidRPr="008B43F6">
        <w:rPr>
          <w:b/>
          <w:color w:val="4F81BD" w:themeColor="accent1"/>
          <w:sz w:val="26"/>
          <w:szCs w:val="26"/>
        </w:rPr>
        <w:t>Co-beneficios políticos y sociales</w:t>
      </w:r>
    </w:p>
    <w:p w:rsidR="002C0CCF" w:rsidRPr="008B43F6" w:rsidRDefault="002C0CCF" w:rsidP="00EA15E2">
      <w:pPr>
        <w:jc w:val="both"/>
        <w:rPr>
          <w:bCs/>
        </w:rPr>
      </w:pPr>
      <w:r w:rsidRPr="008B43F6">
        <w:rPr>
          <w:bCs/>
        </w:rPr>
        <w:lastRenderedPageBreak/>
        <w:t>Los co-beneficios sociales se refieren a las mejoras en la calidad de vida y el bienestar de la sociedad en general que pueden resultar de los hogares energéticamente eficientes. Los co-beneficios políticos incluyen la seguridad energética y la popularidad política derivada de estas medidas.</w:t>
      </w:r>
    </w:p>
    <w:p w:rsidR="002C0CCF" w:rsidRPr="008B43F6" w:rsidRDefault="002C0CCF" w:rsidP="00EA15E2">
      <w:pPr>
        <w:pStyle w:val="Prrafodelista"/>
        <w:numPr>
          <w:ilvl w:val="0"/>
          <w:numId w:val="20"/>
        </w:numPr>
        <w:jc w:val="both"/>
        <w:rPr>
          <w:b/>
          <w:i/>
          <w:color w:val="4F81BD" w:themeColor="accent1"/>
          <w:sz w:val="24"/>
          <w:szCs w:val="24"/>
        </w:rPr>
      </w:pPr>
      <w:r w:rsidRPr="008B43F6">
        <w:rPr>
          <w:b/>
          <w:i/>
          <w:color w:val="4F81BD" w:themeColor="accent1"/>
          <w:sz w:val="24"/>
          <w:szCs w:val="24"/>
        </w:rPr>
        <w:t>Aumento en el confort</w:t>
      </w:r>
    </w:p>
    <w:p w:rsidR="002C0CCF" w:rsidRPr="008B43F6" w:rsidRDefault="002C0CCF" w:rsidP="00EA15E2">
      <w:pPr>
        <w:jc w:val="both"/>
      </w:pPr>
      <w:r w:rsidRPr="008B43F6">
        <w:t xml:space="preserve">Las medidas de mitigación, tales como el mejoramiento del aislamiento térmico y de la ventilación, pueden conducir hacia una normalización de los indicadores de temperatura y humedad; a la pureza del aire, a la reducción del estrés causado por el calor a través de islas de calor reducido (menor consumo de energía local y de evaporación de agua en los jardines urbanos, concretamente de los muros y azoteas verdes), y a la reducción de la humedad y del moho. Todos estos efectos llevan a un aumento en el confort </w:t>
      </w:r>
      <w:r w:rsidRPr="008B43F6">
        <w:fldChar w:fldCharType="begin"/>
      </w:r>
      <w:r w:rsidR="00251C87">
        <w:instrText xml:space="preserve"> ADDIN EN.CITE &lt;EndNote&gt;&lt;Cite&gt;&lt;Author&gt;Schweitzer&lt;/Author&gt;&lt;Year&gt;2002&lt;/Year&gt;&lt;RecNum&gt;12&lt;/RecNum&gt;&lt;DisplayText&gt;[38, 39]&lt;/DisplayText&gt;&lt;record&gt;&lt;rec-number&gt;12&lt;/rec-number&gt;&lt;foreign-keys&gt;&lt;key app="EN" db-id="w0w9edzzlxxfdgesvf359ft8wzxverspwaav"&gt;12&lt;/key&gt;&lt;/foreign-keys&gt;&lt;ref-type name="Report"&gt;27&lt;/ref-type&gt;&lt;contributors&gt;&lt;authors&gt;&lt;author&gt;Martin Schweitzer&lt;/author&gt;&lt;author&gt;Bruce Tonn&lt;/author&gt;&lt;/authors&gt;&lt;/contributors&gt;&lt;titles&gt;&lt;title&gt;Nonenergy benefits from the weatherization assistance program: a summary of findings from the recent literature&lt;/title&gt;&lt;/titles&gt;&lt;dates&gt;&lt;year&gt;2002&lt;/year&gt;&lt;/dates&gt;&lt;pub-location&gt;Springfield, VA&lt;/pub-location&gt;&lt;publisher&gt;OAK RIDGE NATIONAL LABORATORY&lt;/publisher&gt;&lt;urls&gt;&lt;related-urls&gt;&lt;url&gt;http://weatherization.ornl.gov/pdfs/ORNL_CON-484.pdf&lt;/url&gt;&lt;/related-urls&gt;&lt;/urls&gt;&lt;access-date&gt;09/08/12&lt;/access-date&gt;&lt;/record&gt;&lt;/Cite&gt;&lt;Cite&gt;&lt;Author&gt;Golubchikov&lt;/Author&gt;&lt;Year&gt;2009&lt;/Year&gt;&lt;RecNum&gt;13&lt;/RecNum&gt;&lt;record&gt;&lt;rec-number&gt;13&lt;/rec-number&gt;&lt;foreign-keys&gt;&lt;key app="EN" db-id="w0w9edzzlxxfdgesvf359ft8wzxverspwaav"&gt;13&lt;/key&gt;&lt;/foreign-keys&gt;&lt;ref-type name="Report"&gt;27&lt;/ref-type&gt;&lt;contributors&gt;&lt;authors&gt;&lt;author&gt;Oleg Golubchikov&lt;/author&gt;&lt;/authors&gt;&lt;/contributors&gt;&lt;titles&gt;&lt;title&gt;Green Homes. Towards energy-efficient housing in the United Nations Economic Commission for Europe region&lt;/title&gt;&lt;/titles&gt;&lt;dates&gt;&lt;year&gt;2009&lt;/year&gt;&lt;/dates&gt;&lt;pub-location&gt;Geneva&lt;/pub-location&gt;&lt;publisher&gt;United Nations Economic Commission for Europe&lt;/publisher&gt;&lt;urls&gt;&lt;related-urls&gt;&lt;url&gt;http://www.unece.org/fileadmin/DAM/publications/oes/greenhomes.e.pdf&lt;/url&gt;&lt;/related-urls&gt;&lt;/urls&gt;&lt;access-date&gt;09/08/12&lt;/access-date&gt;&lt;/record&gt;&lt;/Cite&gt;&lt;/EndNote&gt;</w:instrText>
      </w:r>
      <w:r w:rsidRPr="008B43F6">
        <w:fldChar w:fldCharType="separate"/>
      </w:r>
      <w:r w:rsidR="00251C87">
        <w:rPr>
          <w:noProof/>
        </w:rPr>
        <w:t>[</w:t>
      </w:r>
      <w:hyperlink w:anchor="_ENREF_38" w:tooltip="Golubchikov, 2009 #13" w:history="1">
        <w:r w:rsidR="00251C87">
          <w:rPr>
            <w:noProof/>
          </w:rPr>
          <w:t>38</w:t>
        </w:r>
      </w:hyperlink>
      <w:r w:rsidR="00251C87">
        <w:rPr>
          <w:noProof/>
        </w:rPr>
        <w:t xml:space="preserve">, </w:t>
      </w:r>
      <w:hyperlink w:anchor="_ENREF_39" w:tooltip="Schweitzer, 2002 #12" w:history="1">
        <w:r w:rsidR="00251C87">
          <w:rPr>
            <w:noProof/>
          </w:rPr>
          <w:t>39</w:t>
        </w:r>
      </w:hyperlink>
      <w:r w:rsidR="00251C87">
        <w:rPr>
          <w:noProof/>
        </w:rPr>
        <w:t>]</w:t>
      </w:r>
      <w:r w:rsidRPr="008B43F6">
        <w:fldChar w:fldCharType="end"/>
      </w:r>
      <w:r w:rsidRPr="008B43F6">
        <w:t>.</w:t>
      </w:r>
    </w:p>
    <w:p w:rsidR="002C0CCF" w:rsidRPr="008B43F6" w:rsidRDefault="002C0CCF" w:rsidP="00EA15E2">
      <w:pPr>
        <w:pStyle w:val="Prrafodelista"/>
        <w:numPr>
          <w:ilvl w:val="0"/>
          <w:numId w:val="20"/>
        </w:numPr>
        <w:jc w:val="both"/>
        <w:rPr>
          <w:b/>
          <w:i/>
          <w:color w:val="4F81BD" w:themeColor="accent1"/>
          <w:sz w:val="24"/>
          <w:szCs w:val="24"/>
        </w:rPr>
      </w:pPr>
      <w:r w:rsidRPr="008B43F6">
        <w:rPr>
          <w:b/>
          <w:i/>
          <w:color w:val="4F81BD" w:themeColor="accent1"/>
          <w:sz w:val="24"/>
          <w:szCs w:val="24"/>
        </w:rPr>
        <w:t>Co-beneficios para los grupos socialmente vulnerables (ejemplo, equidad de género)</w:t>
      </w:r>
    </w:p>
    <w:p w:rsidR="002C0CCF" w:rsidRPr="008B43F6" w:rsidRDefault="002C0CCF" w:rsidP="00EA15E2">
      <w:pPr>
        <w:jc w:val="both"/>
      </w:pPr>
      <w:r w:rsidRPr="008B43F6">
        <w:t xml:space="preserve">Con una eficiencia energética alta y con la introducción de estufas limpias, las mujeres y los niños pueden ahorrarse varias horas al día y varios kilómetros caminata que a diario invierten en promedio en la recolección de leña. En lugar de recolectar leña, los niños pueden ir a la escuela y las mujeres pueden ingresar a la fuerza laboral </w:t>
      </w:r>
      <w:r w:rsidRPr="008B43F6">
        <w:rPr>
          <w:bCs/>
        </w:rPr>
        <w:fldChar w:fldCharType="begin"/>
      </w:r>
      <w:r w:rsidRPr="008B43F6">
        <w:rPr>
          <w:bCs/>
        </w:rPr>
        <w:instrText xml:space="preserve"> ADDIN EN.CITE &lt;EndNote&gt;&lt;Cite&gt;&lt;Author&gt;Ürge-Vorsatz&lt;/Author&gt;&lt;Year&gt;2009&lt;/Year&gt;&lt;RecNum&gt;23&lt;/RecNum&gt;&lt;DisplayText&gt;[3]&lt;/DisplayText&gt;&lt;record&gt;&lt;rec-number&gt;23&lt;/rec-number&gt;&lt;foreign-keys&gt;&lt;key app="EN" db-id="w0w9edzzlxxfdgesvf359ft8wzxverspwaav"&gt;23&lt;/key&gt;&lt;/foreign-keys&gt;&lt;ref-type name="Conference Paper"&gt;47&lt;/ref-type&gt;&lt;contributors&gt;&lt;authors&gt;&lt;author&gt;Diana Ürge-Vorsatz&lt;/author&gt;&lt;author&gt;Aleksandra Novikova&lt;/author&gt;&lt;author&gt;Maria Sharmina&lt;/author&gt;&lt;/authors&gt;&lt;/contributors&gt;&lt;titles&gt;&lt;title&gt;Counting good: quantifying the co-benefits of improved efficiency in buildings&lt;/title&gt;&lt;secondary-title&gt;European Council for an Energy Efficient Economy&lt;/secondary-title&gt;&lt;/titles&gt;&lt;dates&gt;&lt;year&gt;2009&lt;/year&gt;&lt;/dates&gt;&lt;urls&gt;&lt;/urls&gt;&lt;custom1&gt;France&lt;/custom1&gt;&lt;/record&gt;&lt;/Cite&gt;&lt;/EndNote&gt;</w:instrText>
      </w:r>
      <w:r w:rsidRPr="008B43F6">
        <w:rPr>
          <w:bCs/>
        </w:rPr>
        <w:fldChar w:fldCharType="separate"/>
      </w:r>
      <w:r w:rsidRPr="008B43F6">
        <w:rPr>
          <w:bCs/>
          <w:noProof/>
        </w:rPr>
        <w:t>[</w:t>
      </w:r>
      <w:hyperlink w:anchor="_ENREF_3" w:tooltip="Ürge-Vorsatz, 2009 #23" w:history="1">
        <w:r w:rsidR="00251C87" w:rsidRPr="008B43F6">
          <w:rPr>
            <w:bCs/>
            <w:noProof/>
          </w:rPr>
          <w:t>3</w:t>
        </w:r>
      </w:hyperlink>
      <w:r w:rsidRPr="008B43F6">
        <w:rPr>
          <w:bCs/>
          <w:noProof/>
        </w:rPr>
        <w:t>]</w:t>
      </w:r>
      <w:r w:rsidRPr="008B43F6">
        <w:rPr>
          <w:bCs/>
        </w:rPr>
        <w:fldChar w:fldCharType="end"/>
      </w:r>
      <w:r w:rsidRPr="008B43F6">
        <w:rPr>
          <w:bCs/>
        </w:rPr>
        <w:t>. Además, el mejoramiento en la salud y el bienestar público, (temas que se abordarán más adelante) puede tener impactos económicos a partir de la reducción de los costos de la atención médica, tanto para las familias como para los gobiernos. Los gobiernos pueden utilizar los ingresos adicionales para acrecentar los programas de salud pública; y en ambos casos, estos beneficios tienen mayores impactos en los hogares más pobres.</w:t>
      </w:r>
    </w:p>
    <w:p w:rsidR="002C0CCF" w:rsidRPr="008B43F6" w:rsidRDefault="002C0CCF" w:rsidP="00EA15E2">
      <w:pPr>
        <w:pStyle w:val="Prrafodelista"/>
        <w:numPr>
          <w:ilvl w:val="0"/>
          <w:numId w:val="20"/>
        </w:numPr>
        <w:jc w:val="both"/>
        <w:rPr>
          <w:b/>
          <w:i/>
          <w:color w:val="4F81BD" w:themeColor="accent1"/>
          <w:sz w:val="24"/>
          <w:szCs w:val="24"/>
        </w:rPr>
      </w:pPr>
      <w:bookmarkStart w:id="99" w:name="Creating%E2%80%9Ccommunity%E2%80%9D"/>
      <w:r w:rsidRPr="008B43F6">
        <w:rPr>
          <w:b/>
          <w:i/>
          <w:color w:val="4F81BD" w:themeColor="accent1"/>
          <w:sz w:val="24"/>
          <w:szCs w:val="24"/>
        </w:rPr>
        <w:t>Creación de “comunidad”</w:t>
      </w:r>
      <w:bookmarkEnd w:id="99"/>
    </w:p>
    <w:p w:rsidR="002C0CCF" w:rsidRPr="008B43F6" w:rsidRDefault="002C0CCF" w:rsidP="00EA15E2">
      <w:pPr>
        <w:jc w:val="both"/>
        <w:rPr>
          <w:bCs/>
        </w:rPr>
      </w:pPr>
      <w:r w:rsidRPr="008B43F6">
        <w:rPr>
          <w:bCs/>
        </w:rPr>
        <w:t xml:space="preserve">Cuando son implementados a escala comunitaria, los desarrollos verdes pueden volver a colocar a las personas en barrios residenciales enfocados en la gente, en donde los residentes interactúan con sus vecinos. La seguridad aumenta y la dependencia del automóvil disminuye </w:t>
      </w:r>
      <w:r w:rsidRPr="008B43F6">
        <w:rPr>
          <w:bCs/>
        </w:rPr>
        <w:fldChar w:fldCharType="begin"/>
      </w:r>
      <w:r w:rsidR="00251C87">
        <w:rPr>
          <w:bCs/>
        </w:rPr>
        <w:instrText xml:space="preserve"> ADDIN EN.CITE &lt;EndNote&gt;&lt;Cite&gt;&lt;Author&gt;Wilson&lt;/Author&gt;&lt;Year&gt;2005&lt;/Year&gt;&lt;RecNum&gt;29&lt;/RecNum&gt;&lt;DisplayText&gt;[37]&lt;/DisplayText&gt;&lt;record&gt;&lt;rec-number&gt;29&lt;/rec-number&gt;&lt;foreign-keys&gt;&lt;key app="EN" db-id="w0w9edzzlxxfdgesvf359ft8wzxverspwaav"&gt;29&lt;/key&gt;&lt;/foreign-keys&gt;&lt;ref-type name="Newspaper Article"&gt;23&lt;/ref-type&gt;&lt;contributors&gt;&lt;authors&gt;&lt;author&gt;Alex Wilson &lt;/author&gt;&lt;/authors&gt;&lt;/contributors&gt;&lt;titles&gt;&lt;title&gt;Making the Case for Green Building &lt;/title&gt;&lt;secondary-title&gt;Environmental Building News&lt;/secondary-title&gt;&lt;/titles&gt;&lt;dates&gt;&lt;year&gt;2005&lt;/year&gt;&lt;pub-dates&gt;&lt;date&gt;April 1, 2005&lt;/date&gt;&lt;/pub-dates&gt;&lt;/dates&gt;&lt;work-type&gt;Feature&lt;/work-type&gt;&lt;urls&gt;&lt;/urls&gt;&lt;/record&gt;&lt;/Cite&gt;&lt;/EndNote&gt;</w:instrText>
      </w:r>
      <w:r w:rsidRPr="008B43F6">
        <w:rPr>
          <w:bCs/>
        </w:rPr>
        <w:fldChar w:fldCharType="separate"/>
      </w:r>
      <w:r w:rsidR="00251C87">
        <w:rPr>
          <w:bCs/>
          <w:noProof/>
        </w:rPr>
        <w:t>[</w:t>
      </w:r>
      <w:hyperlink w:anchor="_ENREF_37" w:tooltip="Wilson, 2005 #29" w:history="1">
        <w:r w:rsidR="00251C87">
          <w:rPr>
            <w:bCs/>
            <w:noProof/>
          </w:rPr>
          <w:t>37</w:t>
        </w:r>
      </w:hyperlink>
      <w:r w:rsidR="00251C87">
        <w:rPr>
          <w:bCs/>
          <w:noProof/>
        </w:rPr>
        <w:t>]</w:t>
      </w:r>
      <w:r w:rsidRPr="008B43F6">
        <w:rPr>
          <w:bCs/>
        </w:rPr>
        <w:fldChar w:fldCharType="end"/>
      </w:r>
      <w:r w:rsidRPr="008B43F6">
        <w:rPr>
          <w:bCs/>
        </w:rPr>
        <w:t>.</w:t>
      </w:r>
    </w:p>
    <w:p w:rsidR="002C0CCF" w:rsidRPr="008B43F6" w:rsidRDefault="002C0CCF" w:rsidP="00EA15E2">
      <w:pPr>
        <w:pStyle w:val="Prrafodelista"/>
        <w:numPr>
          <w:ilvl w:val="0"/>
          <w:numId w:val="20"/>
        </w:numPr>
        <w:jc w:val="both"/>
        <w:rPr>
          <w:b/>
          <w:i/>
          <w:color w:val="4F81BD" w:themeColor="accent1"/>
          <w:sz w:val="24"/>
          <w:szCs w:val="24"/>
        </w:rPr>
      </w:pPr>
      <w:r w:rsidRPr="008B43F6">
        <w:rPr>
          <w:b/>
          <w:i/>
          <w:color w:val="4F81BD" w:themeColor="accent1"/>
          <w:sz w:val="24"/>
          <w:szCs w:val="24"/>
        </w:rPr>
        <w:t xml:space="preserve">Reducción de la dependencia en la importación de energéticos </w:t>
      </w:r>
    </w:p>
    <w:p w:rsidR="002C0CCF" w:rsidRPr="008B43F6" w:rsidRDefault="002C0CCF" w:rsidP="00EA15E2">
      <w:pPr>
        <w:jc w:val="both"/>
      </w:pPr>
      <w:r w:rsidRPr="008B43F6">
        <w:t xml:space="preserve">Los hogares más eficientes permiten una mejor disponibilidad de la energía a nivel nacional. Invertir en eficiencia energética puede ser una alternativa más barata al aumento en la capacidad de suministro de energía. Asimismo, esto puede conducir hacia una reducción de la dependencia energética </w:t>
      </w:r>
      <w:r w:rsidRPr="008B43F6">
        <w:fldChar w:fldCharType="begin"/>
      </w:r>
      <w:r w:rsidR="00251C87">
        <w:instrText xml:space="preserve"> ADDIN EN.CITE &lt;EndNote&gt;&lt;Cite&gt;&lt;Author&gt;Managan&lt;/Author&gt;&lt;Year&gt;2011&lt;/Year&gt;&lt;RecNum&gt;17&lt;/RecNum&gt;&lt;DisplayText&gt;[38, 41]&lt;/DisplayText&gt;&lt;record&gt;&lt;rec-number&gt;17&lt;/rec-number&gt;&lt;foreign-keys&gt;&lt;key app="EN" db-id="w0w9edzzlxxfdgesvf359ft8wzxverspwaav"&gt;17&lt;/key&gt;&lt;/foreign-keys&gt;&lt;ref-type name="Report"&gt;27&lt;/ref-type&gt;&lt;contributors&gt;&lt;authors&gt;&lt;author&gt;Katrina Managan&lt;/author&gt;&lt;author&gt;Jennifer Layke&lt;/author&gt;&lt;author&gt;Monica Araya&lt;/author&gt;&lt;author&gt;Clay Nesler&lt;/author&gt;&lt;/authors&gt;&lt;/contributors&gt;&lt;titles&gt;&lt;title&gt;Driving Transformation to Energy Efficient Buildings Policies and Actions&lt;/title&gt;&lt;/titles&gt;&lt;dates&gt;&lt;year&gt;2011&lt;/year&gt;&lt;/dates&gt;&lt;publisher&gt;Institute for buliding efficiency, Business Council for Sustainable Energy, Center for Clean Air Policy, US Green Building Council and World Green Building Council&lt;/publisher&gt;&lt;urls&gt;&lt;related-urls&gt;&lt;url&gt;http://www.ccap.org/docs/fck/file/Driving%20Transformation%20to%20Energy%20Efficient%20Buildings%20Johnson%20Controls.pdf&lt;/url&gt;&lt;/related-urls&gt;&lt;/urls&gt;&lt;/record&gt;&lt;/Cite&gt;&lt;Cite&gt;&lt;Author&gt;Golubchikov&lt;/Author&gt;&lt;Year&gt;2009&lt;/Year&gt;&lt;RecNum&gt;13&lt;/RecNum&gt;&lt;record&gt;&lt;rec-number&gt;13&lt;/rec-number&gt;&lt;foreign-keys&gt;&lt;key app="EN" db-id="w0w9edzzlxxfdgesvf359ft8wzxverspwaav"&gt;13&lt;/key&gt;&lt;/foreign-keys&gt;&lt;ref-type name="Report"&gt;27&lt;/ref-type&gt;&lt;contributors&gt;&lt;authors&gt;&lt;author&gt;Oleg Golubchikov&lt;/author&gt;&lt;/authors&gt;&lt;/contributors&gt;&lt;titles&gt;&lt;title&gt;Green Homes. Towards energy-efficient housing in the United Nations Economic Commission for Europe region&lt;/title&gt;&lt;/titles&gt;&lt;dates&gt;&lt;year&gt;2009&lt;/year&gt;&lt;/dates&gt;&lt;pub-location&gt;Geneva&lt;/pub-location&gt;&lt;publisher&gt;United Nations Economic Commission for Europe&lt;/publisher&gt;&lt;urls&gt;&lt;related-urls&gt;&lt;url&gt;http://www.unece.org/fileadmin/DAM/publications/oes/greenhomes.e.pdf&lt;/url&gt;&lt;/related-urls&gt;&lt;/urls&gt;&lt;access-date&gt;09/08/12&lt;/access-date&gt;&lt;/record&gt;&lt;/Cite&gt;&lt;/EndNote&gt;</w:instrText>
      </w:r>
      <w:r w:rsidRPr="008B43F6">
        <w:fldChar w:fldCharType="separate"/>
      </w:r>
      <w:r w:rsidR="00251C87">
        <w:rPr>
          <w:noProof/>
        </w:rPr>
        <w:t>[</w:t>
      </w:r>
      <w:hyperlink w:anchor="_ENREF_38" w:tooltip="Golubchikov, 2009 #13" w:history="1">
        <w:r w:rsidR="00251C87">
          <w:rPr>
            <w:noProof/>
          </w:rPr>
          <w:t>38</w:t>
        </w:r>
      </w:hyperlink>
      <w:r w:rsidR="00251C87">
        <w:rPr>
          <w:noProof/>
        </w:rPr>
        <w:t xml:space="preserve">, </w:t>
      </w:r>
      <w:hyperlink w:anchor="_ENREF_41" w:tooltip="Managan, 2011 #17" w:history="1">
        <w:r w:rsidR="00251C87">
          <w:rPr>
            <w:noProof/>
          </w:rPr>
          <w:t>41</w:t>
        </w:r>
      </w:hyperlink>
      <w:r w:rsidR="00251C87">
        <w:rPr>
          <w:noProof/>
        </w:rPr>
        <w:t>]</w:t>
      </w:r>
      <w:r w:rsidRPr="008B43F6">
        <w:fldChar w:fldCharType="end"/>
      </w:r>
      <w:r w:rsidRPr="008B43F6">
        <w:t>.</w:t>
      </w:r>
    </w:p>
    <w:p w:rsidR="002C0CCF" w:rsidRPr="008B43F6" w:rsidRDefault="002C0CCF" w:rsidP="00EA15E2">
      <w:pPr>
        <w:pStyle w:val="Prrafodelista"/>
        <w:numPr>
          <w:ilvl w:val="0"/>
          <w:numId w:val="20"/>
        </w:numPr>
        <w:jc w:val="both"/>
        <w:rPr>
          <w:b/>
          <w:i/>
          <w:color w:val="4F81BD" w:themeColor="accent1"/>
          <w:sz w:val="24"/>
          <w:szCs w:val="24"/>
        </w:rPr>
      </w:pPr>
      <w:r w:rsidRPr="008B43F6">
        <w:rPr>
          <w:b/>
          <w:i/>
          <w:color w:val="4F81BD" w:themeColor="accent1"/>
          <w:sz w:val="24"/>
          <w:szCs w:val="24"/>
        </w:rPr>
        <w:t>Adaptación al cambio climático</w:t>
      </w:r>
    </w:p>
    <w:p w:rsidR="002C0CCF" w:rsidRPr="008B43F6" w:rsidRDefault="002C0CCF" w:rsidP="00EA15E2">
      <w:pPr>
        <w:jc w:val="both"/>
        <w:rPr>
          <w:bCs/>
        </w:rPr>
      </w:pPr>
      <w:r w:rsidRPr="008B43F6">
        <w:rPr>
          <w:bCs/>
        </w:rPr>
        <w:t xml:space="preserve">Algunas medidas de eficiencia energética como la ventilación, el aislamiento, etc. pueden hacer que las residencias sean más resistentes a los cambios de patrones del tiempo, lo cual significa que las casas climatizadas son más resistentes al cambio climático </w:t>
      </w:r>
      <w:r w:rsidRPr="008B43F6">
        <w:rPr>
          <w:bCs/>
        </w:rPr>
        <w:fldChar w:fldCharType="begin"/>
      </w:r>
      <w:r w:rsidR="00251C87">
        <w:rPr>
          <w:bCs/>
        </w:rPr>
        <w:instrText xml:space="preserve"> ADDIN EN.CITE &lt;EndNote&gt;&lt;Cite&gt;&lt;Author&gt;Bystricky&lt;/Author&gt;&lt;Year&gt;2010&lt;/Year&gt;&lt;RecNum&gt;28&lt;/RecNum&gt;&lt;DisplayText&gt;[43]&lt;/DisplayText&gt;&lt;record&gt;&lt;rec-number&gt;28&lt;/rec-number&gt;&lt;foreign-keys&gt;&lt;key app="EN" db-id="w0w9edzzlxxfdgesvf359ft8wzxverspwaav"&gt;28&lt;/key&gt;&lt;/foreign-keys&gt;&lt;ref-type name="Report"&gt;27&lt;/ref-type&gt;&lt;contributors&gt;&lt;authors&gt;&lt;author&gt;Eliska Bystricky&lt;/author&gt;&lt;author&gt; Alyssa Gilbert&lt;/author&gt;&lt;author&gt;Sebastian Klaus&lt;/author&gt;&lt;author&gt;Jan Rordorf&lt;/author&gt;&lt;/authors&gt;&lt;/contributors&gt;&lt;titles&gt;&lt;title&gt;Co-benefits of private investment in climate change mitigation and adaptation in developing countries&lt;/title&gt;&lt;/titles&gt;&lt;dates&gt;&lt;year&gt;2010&lt;/year&gt;&lt;/dates&gt;&lt;publisher&gt;Ecofys&lt;/publisher&gt;&lt;urls&gt;&lt;/urls&gt;&lt;/record&gt;&lt;/Cite&gt;&lt;/EndNote&gt;</w:instrText>
      </w:r>
      <w:r w:rsidRPr="008B43F6">
        <w:rPr>
          <w:bCs/>
        </w:rPr>
        <w:fldChar w:fldCharType="separate"/>
      </w:r>
      <w:r w:rsidR="00251C87">
        <w:rPr>
          <w:bCs/>
          <w:noProof/>
        </w:rPr>
        <w:t>[</w:t>
      </w:r>
      <w:hyperlink w:anchor="_ENREF_43" w:tooltip="Bystricky, 2010 #28" w:history="1">
        <w:r w:rsidR="00251C87">
          <w:rPr>
            <w:bCs/>
            <w:noProof/>
          </w:rPr>
          <w:t>43</w:t>
        </w:r>
      </w:hyperlink>
      <w:r w:rsidR="00251C87">
        <w:rPr>
          <w:bCs/>
          <w:noProof/>
        </w:rPr>
        <w:t>]</w:t>
      </w:r>
      <w:r w:rsidRPr="008B43F6">
        <w:rPr>
          <w:bCs/>
        </w:rPr>
        <w:fldChar w:fldCharType="end"/>
      </w:r>
      <w:r w:rsidRPr="008B43F6">
        <w:rPr>
          <w:bCs/>
        </w:rPr>
        <w:t>.</w:t>
      </w:r>
    </w:p>
    <w:p w:rsidR="002C0CCF" w:rsidRPr="008B43F6" w:rsidRDefault="002C0CCF" w:rsidP="00EA15E2">
      <w:pPr>
        <w:pStyle w:val="Prrafodelista"/>
        <w:numPr>
          <w:ilvl w:val="0"/>
          <w:numId w:val="20"/>
        </w:numPr>
        <w:jc w:val="both"/>
        <w:rPr>
          <w:b/>
          <w:i/>
          <w:color w:val="4F81BD" w:themeColor="accent1"/>
          <w:sz w:val="24"/>
          <w:szCs w:val="24"/>
        </w:rPr>
      </w:pPr>
      <w:r w:rsidRPr="008B43F6">
        <w:rPr>
          <w:b/>
          <w:i/>
          <w:color w:val="4F81BD" w:themeColor="accent1"/>
          <w:sz w:val="24"/>
          <w:szCs w:val="24"/>
        </w:rPr>
        <w:lastRenderedPageBreak/>
        <w:t>Proteger a las viviendas de la posibilidad de sufrir cortes de energía</w:t>
      </w:r>
    </w:p>
    <w:p w:rsidR="002C0CCF" w:rsidRPr="008B43F6" w:rsidRDefault="002C0CCF" w:rsidP="00EA15E2">
      <w:pPr>
        <w:jc w:val="both"/>
        <w:rPr>
          <w:bCs/>
        </w:rPr>
      </w:pPr>
      <w:r w:rsidRPr="008B43F6">
        <w:rPr>
          <w:bCs/>
        </w:rPr>
        <w:t xml:space="preserve">Las casas que son energéticamente eficientes se protegen a sí mismas frente a la posibilidad de sufrir cortes en el suministro de energía. La eficiencia energética también significa menores niveles de carga en las redes eléctricas, lo cual ayuda a evitar apagones </w:t>
      </w:r>
      <w:r w:rsidRPr="008B43F6">
        <w:rPr>
          <w:bCs/>
        </w:rPr>
        <w:fldChar w:fldCharType="begin"/>
      </w:r>
      <w:r w:rsidR="00251C87">
        <w:rPr>
          <w:bCs/>
        </w:rPr>
        <w:instrText xml:space="preserve"> ADDIN EN.CITE &lt;EndNote&gt;&lt;Cite&gt;&lt;Author&gt;Golubchikov&lt;/Author&gt;&lt;Year&gt;2009&lt;/Year&gt;&lt;RecNum&gt;13&lt;/RecNum&gt;&lt;DisplayText&gt;[38, 41]&lt;/DisplayText&gt;&lt;record&gt;&lt;rec-number&gt;13&lt;/rec-number&gt;&lt;foreign-keys&gt;&lt;key app="EN" db-id="w0w9edzzlxxfdgesvf359ft8wzxverspwaav"&gt;13&lt;/key&gt;&lt;/foreign-keys&gt;&lt;ref-type name="Report"&gt;27&lt;/ref-type&gt;&lt;contributors&gt;&lt;authors&gt;&lt;author&gt;Oleg Golubchikov&lt;/author&gt;&lt;/authors&gt;&lt;/contributors&gt;&lt;titles&gt;&lt;title&gt;Green Homes. Towards energy-efficient housing in the United Nations Economic Commission for Europe region&lt;/title&gt;&lt;/titles&gt;&lt;dates&gt;&lt;year&gt;2009&lt;/year&gt;&lt;/dates&gt;&lt;pub-location&gt;Geneva&lt;/pub-location&gt;&lt;publisher&gt;United Nations Economic Commission for Europe&lt;/publisher&gt;&lt;urls&gt;&lt;related-urls&gt;&lt;url&gt;http://www.unece.org/fileadmin/DAM/publications/oes/greenhomes.e.pdf&lt;/url&gt;&lt;/related-urls&gt;&lt;/urls&gt;&lt;access-date&gt;09/08/12&lt;/access-date&gt;&lt;/record&gt;&lt;/Cite&gt;&lt;Cite&gt;&lt;Author&gt;Managan&lt;/Author&gt;&lt;Year&gt;2011&lt;/Year&gt;&lt;RecNum&gt;17&lt;/RecNum&gt;&lt;record&gt;&lt;rec-number&gt;17&lt;/rec-number&gt;&lt;foreign-keys&gt;&lt;key app="EN" db-id="w0w9edzzlxxfdgesvf359ft8wzxverspwaav"&gt;17&lt;/key&gt;&lt;/foreign-keys&gt;&lt;ref-type name="Report"&gt;27&lt;/ref-type&gt;&lt;contributors&gt;&lt;authors&gt;&lt;author&gt;Katrina Managan&lt;/author&gt;&lt;author&gt;Jennifer Layke&lt;/author&gt;&lt;author&gt;Monica Araya&lt;/author&gt;&lt;author&gt;Clay Nesler&lt;/author&gt;&lt;/authors&gt;&lt;/contributors&gt;&lt;titles&gt;&lt;title&gt;Driving Transformation to Energy Efficient Buildings Policies and Actions&lt;/title&gt;&lt;/titles&gt;&lt;dates&gt;&lt;year&gt;2011&lt;/year&gt;&lt;/dates&gt;&lt;publisher&gt;Institute for buliding efficiency, Business Council for Sustainable Energy, Center for Clean Air Policy, US Green Building Council and World Green Building Council&lt;/publisher&gt;&lt;urls&gt;&lt;related-urls&gt;&lt;url&gt;http://www.ccap.org/docs/fck/file/Driving%20Transformation%20to%20Energy%20Efficient%20Buildings%20Johnson%20Controls.pdf&lt;/url&gt;&lt;/related-urls&gt;&lt;/urls&gt;&lt;/record&gt;&lt;/Cite&gt;&lt;/EndNote&gt;</w:instrText>
      </w:r>
      <w:r w:rsidRPr="008B43F6">
        <w:rPr>
          <w:bCs/>
        </w:rPr>
        <w:fldChar w:fldCharType="separate"/>
      </w:r>
      <w:r w:rsidR="00251C87">
        <w:rPr>
          <w:bCs/>
          <w:noProof/>
        </w:rPr>
        <w:t>[</w:t>
      </w:r>
      <w:hyperlink w:anchor="_ENREF_38" w:tooltip="Golubchikov, 2009 #13" w:history="1">
        <w:r w:rsidR="00251C87">
          <w:rPr>
            <w:bCs/>
            <w:noProof/>
          </w:rPr>
          <w:t>38</w:t>
        </w:r>
      </w:hyperlink>
      <w:r w:rsidR="00251C87">
        <w:rPr>
          <w:bCs/>
          <w:noProof/>
        </w:rPr>
        <w:t xml:space="preserve">, </w:t>
      </w:r>
      <w:hyperlink w:anchor="_ENREF_41" w:tooltip="Managan, 2011 #17" w:history="1">
        <w:r w:rsidR="00251C87">
          <w:rPr>
            <w:bCs/>
            <w:noProof/>
          </w:rPr>
          <w:t>41</w:t>
        </w:r>
      </w:hyperlink>
      <w:r w:rsidR="00251C87">
        <w:rPr>
          <w:bCs/>
          <w:noProof/>
        </w:rPr>
        <w:t>]</w:t>
      </w:r>
      <w:r w:rsidRPr="008B43F6">
        <w:rPr>
          <w:bCs/>
        </w:rPr>
        <w:fldChar w:fldCharType="end"/>
      </w:r>
      <w:r w:rsidRPr="008B43F6">
        <w:rPr>
          <w:bCs/>
        </w:rPr>
        <w:t>.</w:t>
      </w:r>
    </w:p>
    <w:p w:rsidR="002C0CCF" w:rsidRPr="008B43F6" w:rsidRDefault="002C0CCF" w:rsidP="00EA15E2">
      <w:pPr>
        <w:pStyle w:val="Prrafodelista"/>
        <w:numPr>
          <w:ilvl w:val="0"/>
          <w:numId w:val="20"/>
        </w:numPr>
        <w:jc w:val="both"/>
        <w:rPr>
          <w:b/>
          <w:i/>
          <w:color w:val="4F81BD" w:themeColor="accent1"/>
          <w:sz w:val="24"/>
          <w:szCs w:val="24"/>
        </w:rPr>
      </w:pPr>
      <w:r w:rsidRPr="008B43F6">
        <w:rPr>
          <w:b/>
          <w:i/>
          <w:color w:val="4F81BD" w:themeColor="accent1"/>
          <w:sz w:val="24"/>
          <w:szCs w:val="24"/>
        </w:rPr>
        <w:t>Prolongación de la vida de las redes de distribución de energía eléctrica</w:t>
      </w:r>
    </w:p>
    <w:p w:rsidR="002C0CCF" w:rsidRPr="008B43F6" w:rsidRDefault="002C0CCF" w:rsidP="00EA15E2">
      <w:pPr>
        <w:jc w:val="both"/>
        <w:rPr>
          <w:bCs/>
        </w:rPr>
      </w:pPr>
      <w:r w:rsidRPr="008B43F6">
        <w:rPr>
          <w:bCs/>
        </w:rPr>
        <w:t xml:space="preserve">Las redes de distribución de energía eléctrica también experimentan menos intensidad de carga debido a una mayor eficiencia energética en la vivienda, y por consiguiente, su vida se alarga </w:t>
      </w:r>
      <w:r w:rsidRPr="008B43F6">
        <w:rPr>
          <w:bCs/>
        </w:rPr>
        <w:fldChar w:fldCharType="begin"/>
      </w:r>
      <w:r w:rsidR="00251C87">
        <w:rPr>
          <w:bCs/>
        </w:rPr>
        <w:instrText xml:space="preserve"> ADDIN EN.CITE &lt;EndNote&gt;&lt;Cite&gt;&lt;Author&gt;Golubchikov&lt;/Author&gt;&lt;Year&gt;2009&lt;/Year&gt;&lt;RecNum&gt;13&lt;/RecNum&gt;&lt;DisplayText&gt;[38]&lt;/DisplayText&gt;&lt;record&gt;&lt;rec-number&gt;13&lt;/rec-number&gt;&lt;foreign-keys&gt;&lt;key app="EN" db-id="w0w9edzzlxxfdgesvf359ft8wzxverspwaav"&gt;13&lt;/key&gt;&lt;/foreign-keys&gt;&lt;ref-type name="Report"&gt;27&lt;/ref-type&gt;&lt;contributors&gt;&lt;authors&gt;&lt;author&gt;Oleg Golubchikov&lt;/author&gt;&lt;/authors&gt;&lt;/contributors&gt;&lt;titles&gt;&lt;title&gt;Green Homes. Towards energy-efficient housing in the United Nations Economic Commission for Europe region&lt;/title&gt;&lt;/titles&gt;&lt;dates&gt;&lt;year&gt;2009&lt;/year&gt;&lt;/dates&gt;&lt;pub-location&gt;Geneva&lt;/pub-location&gt;&lt;publisher&gt;United Nations Economic Commission for Europe&lt;/publisher&gt;&lt;urls&gt;&lt;related-urls&gt;&lt;url&gt;http://www.unece.org/fileadmin/DAM/publications/oes/greenhomes.e.pdf&lt;/url&gt;&lt;/related-urls&gt;&lt;/urls&gt;&lt;access-date&gt;09/08/12&lt;/access-date&gt;&lt;/record&gt;&lt;/Cite&gt;&lt;/EndNote&gt;</w:instrText>
      </w:r>
      <w:r w:rsidRPr="008B43F6">
        <w:rPr>
          <w:bCs/>
        </w:rPr>
        <w:fldChar w:fldCharType="separate"/>
      </w:r>
      <w:r w:rsidR="00251C87">
        <w:rPr>
          <w:bCs/>
          <w:noProof/>
        </w:rPr>
        <w:t>[</w:t>
      </w:r>
      <w:hyperlink w:anchor="_ENREF_38" w:tooltip="Golubchikov, 2009 #13" w:history="1">
        <w:r w:rsidR="00251C87">
          <w:rPr>
            <w:bCs/>
            <w:noProof/>
          </w:rPr>
          <w:t>38</w:t>
        </w:r>
      </w:hyperlink>
      <w:r w:rsidR="00251C87">
        <w:rPr>
          <w:bCs/>
          <w:noProof/>
        </w:rPr>
        <w:t>]</w:t>
      </w:r>
      <w:r w:rsidRPr="008B43F6">
        <w:rPr>
          <w:bCs/>
        </w:rPr>
        <w:fldChar w:fldCharType="end"/>
      </w:r>
      <w:r w:rsidRPr="008B43F6">
        <w:rPr>
          <w:bCs/>
        </w:rPr>
        <w:t>.</w:t>
      </w:r>
    </w:p>
    <w:p w:rsidR="002C0CCF" w:rsidRPr="008B43F6" w:rsidRDefault="002C0CCF" w:rsidP="00EA15E2">
      <w:pPr>
        <w:pStyle w:val="Prrafodelista"/>
        <w:numPr>
          <w:ilvl w:val="0"/>
          <w:numId w:val="20"/>
        </w:numPr>
        <w:jc w:val="both"/>
        <w:rPr>
          <w:b/>
          <w:i/>
          <w:color w:val="4F81BD" w:themeColor="accent1"/>
          <w:sz w:val="24"/>
          <w:szCs w:val="24"/>
        </w:rPr>
      </w:pPr>
      <w:r w:rsidRPr="008B43F6">
        <w:rPr>
          <w:b/>
          <w:i/>
          <w:color w:val="4F81BD" w:themeColor="accent1"/>
          <w:sz w:val="24"/>
          <w:szCs w:val="24"/>
        </w:rPr>
        <w:t>Aumento en la popularidad política</w:t>
      </w:r>
    </w:p>
    <w:p w:rsidR="002C0CCF" w:rsidRPr="008B43F6" w:rsidRDefault="002C0CCF" w:rsidP="00EA15E2">
      <w:pPr>
        <w:jc w:val="both"/>
        <w:rPr>
          <w:bCs/>
        </w:rPr>
      </w:pPr>
      <w:r w:rsidRPr="008B43F6">
        <w:rPr>
          <w:bCs/>
        </w:rPr>
        <w:t xml:space="preserve">Existen reportes sobre el hecho de que los líderes políticos que han introducido medidas de eficiencia energética a gran escala en beneficio de la población, han ganado popularidad y votos </w:t>
      </w:r>
      <w:r w:rsidRPr="008B43F6">
        <w:rPr>
          <w:bCs/>
        </w:rPr>
        <w:fldChar w:fldCharType="begin"/>
      </w:r>
      <w:r w:rsidRPr="008B43F6">
        <w:rPr>
          <w:bCs/>
        </w:rPr>
        <w:instrText xml:space="preserve"> ADDIN EN.CITE &lt;EndNote&gt;&lt;Cite&gt;&lt;Author&gt;Ürge-Vorsatz&lt;/Author&gt;&lt;Year&gt;2009&lt;/Year&gt;&lt;RecNum&gt;23&lt;/RecNum&gt;&lt;DisplayText&gt;[3]&lt;/DisplayText&gt;&lt;record&gt;&lt;rec-number&gt;23&lt;/rec-number&gt;&lt;foreign-keys&gt;&lt;key app="EN" db-id="w0w9edzzlxxfdgesvf359ft8wzxverspwaav"&gt;23&lt;/key&gt;&lt;/foreign-keys&gt;&lt;ref-type name="Conference Paper"&gt;47&lt;/ref-type&gt;&lt;contributors&gt;&lt;authors&gt;&lt;author&gt;Diana Ürge-Vorsatz&lt;/author&gt;&lt;author&gt;Aleksandra Novikova&lt;/author&gt;&lt;author&gt;Maria Sharmina&lt;/author&gt;&lt;/authors&gt;&lt;/contributors&gt;&lt;titles&gt;&lt;title&gt;Counting good: quantifying the co-benefits of improved efficiency in buildings&lt;/title&gt;&lt;secondary-title&gt;European Council for an Energy Efficient Economy&lt;/secondary-title&gt;&lt;/titles&gt;&lt;dates&gt;&lt;year&gt;2009&lt;/year&gt;&lt;/dates&gt;&lt;urls&gt;&lt;/urls&gt;&lt;custom1&gt;France&lt;/custom1&gt;&lt;/record&gt;&lt;/Cite&gt;&lt;/EndNote&gt;</w:instrText>
      </w:r>
      <w:r w:rsidRPr="008B43F6">
        <w:rPr>
          <w:bCs/>
        </w:rPr>
        <w:fldChar w:fldCharType="separate"/>
      </w:r>
      <w:r w:rsidRPr="008B43F6">
        <w:rPr>
          <w:bCs/>
          <w:noProof/>
        </w:rPr>
        <w:t>[</w:t>
      </w:r>
      <w:hyperlink w:anchor="_ENREF_3" w:tooltip="Ürge-Vorsatz, 2009 #23" w:history="1">
        <w:r w:rsidR="00251C87" w:rsidRPr="008B43F6">
          <w:rPr>
            <w:bCs/>
            <w:noProof/>
          </w:rPr>
          <w:t>3</w:t>
        </w:r>
      </w:hyperlink>
      <w:r w:rsidRPr="008B43F6">
        <w:rPr>
          <w:bCs/>
          <w:noProof/>
        </w:rPr>
        <w:t>]</w:t>
      </w:r>
      <w:r w:rsidRPr="008B43F6">
        <w:rPr>
          <w:bCs/>
        </w:rPr>
        <w:fldChar w:fldCharType="end"/>
      </w:r>
      <w:r w:rsidRPr="008B43F6">
        <w:rPr>
          <w:bCs/>
        </w:rPr>
        <w:t>.</w:t>
      </w:r>
    </w:p>
    <w:p w:rsidR="002C0CCF" w:rsidRPr="008B43F6" w:rsidRDefault="002C0CCF" w:rsidP="00EA15E2">
      <w:pPr>
        <w:pStyle w:val="Prrafodelista"/>
        <w:numPr>
          <w:ilvl w:val="0"/>
          <w:numId w:val="20"/>
        </w:numPr>
        <w:jc w:val="both"/>
        <w:rPr>
          <w:b/>
          <w:i/>
          <w:color w:val="4F81BD" w:themeColor="accent1"/>
          <w:sz w:val="24"/>
          <w:szCs w:val="24"/>
        </w:rPr>
      </w:pPr>
      <w:r w:rsidRPr="008B43F6">
        <w:rPr>
          <w:b/>
          <w:i/>
          <w:color w:val="4F81BD" w:themeColor="accent1"/>
          <w:sz w:val="24"/>
          <w:szCs w:val="24"/>
        </w:rPr>
        <w:t>Cumplimiento de la normatividad internacional</w:t>
      </w:r>
    </w:p>
    <w:p w:rsidR="002C0CCF" w:rsidRPr="008B43F6" w:rsidRDefault="002C0CCF" w:rsidP="00EA15E2">
      <w:pPr>
        <w:jc w:val="both"/>
        <w:rPr>
          <w:bCs/>
        </w:rPr>
      </w:pPr>
      <w:r w:rsidRPr="008B43F6">
        <w:rPr>
          <w:bCs/>
        </w:rPr>
        <w:t>El mejoramiento de la eficiencia energética y el acceso a la energía son dos de los principales objetivos de la iniciativa “Energía para Todos” del Secretario General de las Naciones Unidas, en la que participan la mayoría de los países de América Latina.</w:t>
      </w:r>
    </w:p>
    <w:p w:rsidR="002C0CCF" w:rsidRPr="008B43F6" w:rsidRDefault="002C0CCF" w:rsidP="00EA15E2">
      <w:pPr>
        <w:jc w:val="both"/>
        <w:rPr>
          <w:bCs/>
        </w:rPr>
      </w:pPr>
    </w:p>
    <w:p w:rsidR="002C0CCF" w:rsidRPr="008B43F6" w:rsidRDefault="002C0CCF" w:rsidP="00EA15E2">
      <w:pPr>
        <w:jc w:val="both"/>
        <w:rPr>
          <w:bCs/>
        </w:rPr>
      </w:pPr>
      <w:r w:rsidRPr="008B43F6">
        <w:rPr>
          <w:bCs/>
        </w:rPr>
        <w:t xml:space="preserve">Un cambio que sustituya las viviendas tradicionales por construcciones verdes también representa una oportunidad única de alcanzar el objetivo número 11 de los Objetivos de Desarrollo del Milenio que están enfocados a mejorar para el año 2020 las condiciones de 100 millones de personas que habitan en asentamientos marginados </w:t>
      </w:r>
      <w:r w:rsidRPr="008B43F6">
        <w:fldChar w:fldCharType="begin"/>
      </w:r>
      <w:r w:rsidR="00251C87">
        <w:instrText xml:space="preserve"> ADDIN EN.CITE &lt;EndNote&gt;&lt;Cite&gt;&lt;Author&gt;Renner&lt;/Author&gt;&lt;Year&gt;2008&lt;/Year&gt;&lt;RecNum&gt;30&lt;/RecNum&gt;&lt;DisplayText&gt;[40]&lt;/DisplayText&gt;&lt;record&gt;&lt;rec-number&gt;30&lt;/rec-number&gt;&lt;foreign-keys&gt;&lt;key app="EN" db-id="w0w9edzzlxxfdgesvf359ft8wzxverspwaav"&gt;30&lt;/key&gt;&lt;/foreign-keys&gt;&lt;ref-type name="Report"&gt;27&lt;/ref-type&gt;&lt;contributors&gt;&lt;authors&gt;&lt;author&gt;Michael Renner&lt;/author&gt;&lt;author&gt;Sean Sweeney&lt;/author&gt;&lt;author&gt;Jill Kubit&lt;/author&gt;&lt;/authors&gt;&lt;subsidiary-authors&gt;&lt;author&gt;UNEP/ILO/IOE/ITUC&lt;/author&gt;&lt;/subsidiary-authors&gt;&lt;/contributors&gt;&lt;titles&gt;&lt;title&gt;Green Jobs: Towards decent work in a sustainable, low-carbon world&lt;/title&gt;&lt;/titles&gt;&lt;dates&gt;&lt;year&gt;2008&lt;/year&gt;&lt;/dates&gt;&lt;publisher&gt;Worldwatch Institute&lt;/publisher&gt;&lt;urls&gt;&lt;/urls&gt;&lt;/record&gt;&lt;/Cite&gt;&lt;/EndNote&gt;</w:instrText>
      </w:r>
      <w:r w:rsidRPr="008B43F6">
        <w:fldChar w:fldCharType="separate"/>
      </w:r>
      <w:r w:rsidR="00251C87">
        <w:rPr>
          <w:noProof/>
        </w:rPr>
        <w:t>[</w:t>
      </w:r>
      <w:hyperlink w:anchor="_ENREF_40" w:tooltip="Renner, 2008 #30" w:history="1">
        <w:r w:rsidR="00251C87">
          <w:rPr>
            <w:noProof/>
          </w:rPr>
          <w:t>40</w:t>
        </w:r>
      </w:hyperlink>
      <w:r w:rsidR="00251C87">
        <w:rPr>
          <w:noProof/>
        </w:rPr>
        <w:t>]</w:t>
      </w:r>
      <w:r w:rsidRPr="008B43F6">
        <w:fldChar w:fldCharType="end"/>
      </w:r>
      <w:r w:rsidRPr="008B43F6">
        <w:t>.</w:t>
      </w:r>
    </w:p>
    <w:p w:rsidR="002C0CCF" w:rsidRPr="008B43F6" w:rsidRDefault="002C0CCF" w:rsidP="00EA15E2">
      <w:pPr>
        <w:jc w:val="both"/>
        <w:rPr>
          <w:b/>
          <w:color w:val="4F81BD" w:themeColor="accent1"/>
          <w:sz w:val="26"/>
          <w:szCs w:val="26"/>
        </w:rPr>
      </w:pPr>
      <w:r w:rsidRPr="008B43F6">
        <w:rPr>
          <w:b/>
          <w:color w:val="4F81BD" w:themeColor="accent1"/>
          <w:sz w:val="26"/>
          <w:szCs w:val="26"/>
        </w:rPr>
        <w:t>Co- Beneficios para la salud</w:t>
      </w:r>
    </w:p>
    <w:p w:rsidR="002C0CCF" w:rsidRPr="008B43F6" w:rsidRDefault="002C0CCF" w:rsidP="00EA15E2">
      <w:pPr>
        <w:jc w:val="both"/>
        <w:rPr>
          <w:color w:val="000000" w:themeColor="text1"/>
        </w:rPr>
      </w:pPr>
      <w:r w:rsidRPr="008B43F6">
        <w:rPr>
          <w:color w:val="000000" w:themeColor="text1"/>
        </w:rPr>
        <w:t>Los co-beneficios de salud están relacionados con la calidad del aire y las mejoras en el confort (que serán descritas más adelante) derivadas de las medidas de mitigación.</w:t>
      </w:r>
    </w:p>
    <w:p w:rsidR="002C0CCF" w:rsidRPr="008B43F6" w:rsidRDefault="002C0CCF" w:rsidP="00EA15E2">
      <w:pPr>
        <w:pStyle w:val="Prrafodelista"/>
        <w:numPr>
          <w:ilvl w:val="0"/>
          <w:numId w:val="20"/>
        </w:numPr>
        <w:jc w:val="both"/>
        <w:rPr>
          <w:b/>
          <w:i/>
          <w:color w:val="4F81BD" w:themeColor="accent1"/>
          <w:sz w:val="24"/>
          <w:szCs w:val="24"/>
        </w:rPr>
      </w:pPr>
      <w:r w:rsidRPr="008B43F6">
        <w:rPr>
          <w:b/>
          <w:i/>
          <w:color w:val="4F81BD" w:themeColor="accent1"/>
          <w:sz w:val="24"/>
          <w:szCs w:val="24"/>
        </w:rPr>
        <w:t>Reducción de la contaminación del aire en interiores</w:t>
      </w:r>
    </w:p>
    <w:p w:rsidR="002C0CCF" w:rsidRPr="008B43F6" w:rsidRDefault="002C0CCF" w:rsidP="00EA15E2">
      <w:pPr>
        <w:jc w:val="both"/>
      </w:pPr>
      <w:r w:rsidRPr="008B43F6">
        <w:t xml:space="preserve">La reducción de la contaminación del aire en interiores es particularmente importante en las viviendas rurales y de muy bajos ingresos, ya que el humo de la quema de biomasa contribuye a aumentar las infecciones respiratorias agudas en los niños pequeños y a las enfermedades pulmonares obstructivas crónicas en los adultos. Los hornos defectuosos pueden liberar monóxido de carbono en las casas, con efectos muy negativos sobre la salud. </w:t>
      </w:r>
    </w:p>
    <w:p w:rsidR="002C0CCF" w:rsidRPr="008B43F6" w:rsidRDefault="002C0CCF" w:rsidP="00EA15E2">
      <w:pPr>
        <w:jc w:val="both"/>
      </w:pPr>
      <w:r w:rsidRPr="008B43F6">
        <w:t>La calidad del aire en interiores mejora a través de una mejor ventilación que elimina los desechos gaseosos y humos tóxicos emanados de los materiales y de las actividades de construcción, y de la reducción de la combustión incompleta de combustibles fósiles y biomasa.</w:t>
      </w:r>
    </w:p>
    <w:p w:rsidR="002C0CCF" w:rsidRPr="008B43F6" w:rsidRDefault="002C0CCF" w:rsidP="00EA15E2">
      <w:pPr>
        <w:jc w:val="both"/>
      </w:pPr>
      <w:r w:rsidRPr="008B43F6">
        <w:lastRenderedPageBreak/>
        <w:t xml:space="preserve">El mejoramiento de los equipos de calefacción y cocina a través de medidas de eficiencia energética pueden evitar dichas emanaciones. Los edificios verdes eficientes ayudan a crear condiciones más saludables, ya que contribuyen a mantener la estabilidad del clima al interior de las viviendas, a disminuir las corrientes de aire frío que se filtran a través de ventanas, paredes, pisos y techos en climas fríos, y a mejorar la protección del sol y la ventilación en climas cálidos. </w:t>
      </w:r>
      <w:r w:rsidRPr="008B43F6">
        <w:fldChar w:fldCharType="begin">
          <w:fldData xml:space="preserve">PEVuZE5vdGU+PENpdGU+PEF1dGhvcj7DnHJnZS1Wb3JzYXR6PC9BdXRob3I+PFllYXI+MjAwOTwv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</w:fldData>
        </w:fldChar>
      </w:r>
      <w:r w:rsidR="00251C87">
        <w:instrText xml:space="preserve"> ADDIN EN.CITE </w:instrText>
      </w:r>
      <w:r w:rsidR="00251C87">
        <w:fldChar w:fldCharType="begin">
          <w:fldData xml:space="preserve">PEVuZE5vdGU+PENpdGU+PEF1dGhvcj7DnHJnZS1Wb3JzYXR6PC9BdXRob3I+PFllYXI+MjAwOTwv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</w:fldData>
        </w:fldChar>
      </w:r>
      <w:r w:rsidR="00251C87">
        <w:instrText xml:space="preserve"> ADDIN EN.CITE.DATA </w:instrText>
      </w:r>
      <w:r w:rsidR="00251C87">
        <w:fldChar w:fldCharType="end"/>
      </w:r>
      <w:r w:rsidRPr="008B43F6">
        <w:fldChar w:fldCharType="separate"/>
      </w:r>
      <w:r w:rsidR="00251C87">
        <w:rPr>
          <w:noProof/>
        </w:rPr>
        <w:t>[</w:t>
      </w:r>
      <w:hyperlink w:anchor="_ENREF_3" w:tooltip="Ürge-Vorsatz, 2009 #23" w:history="1">
        <w:r w:rsidR="00251C87">
          <w:rPr>
            <w:noProof/>
          </w:rPr>
          <w:t>3</w:t>
        </w:r>
      </w:hyperlink>
      <w:r w:rsidR="00251C87">
        <w:rPr>
          <w:noProof/>
        </w:rPr>
        <w:t xml:space="preserve">, </w:t>
      </w:r>
      <w:hyperlink w:anchor="_ENREF_41" w:tooltip="Managan, 2011 #17" w:history="1">
        <w:r w:rsidR="00251C87">
          <w:rPr>
            <w:noProof/>
          </w:rPr>
          <w:t>41</w:t>
        </w:r>
      </w:hyperlink>
      <w:r w:rsidR="00251C87">
        <w:rPr>
          <w:noProof/>
        </w:rPr>
        <w:t xml:space="preserve">, </w:t>
      </w:r>
      <w:hyperlink w:anchor="_ENREF_44" w:tooltip="Wilkinson, 2009 #27" w:history="1">
        <w:r w:rsidR="00251C87">
          <w:rPr>
            <w:noProof/>
          </w:rPr>
          <w:t>44</w:t>
        </w:r>
      </w:hyperlink>
      <w:r w:rsidR="00251C87">
        <w:rPr>
          <w:noProof/>
        </w:rPr>
        <w:t>]</w:t>
      </w:r>
      <w:r w:rsidRPr="008B43F6">
        <w:fldChar w:fldCharType="end"/>
      </w:r>
      <w:r w:rsidRPr="008B43F6">
        <w:t>.</w:t>
      </w:r>
    </w:p>
    <w:p w:rsidR="002C0CCF" w:rsidRPr="008B43F6" w:rsidRDefault="002C0CCF" w:rsidP="00EA15E2">
      <w:pPr>
        <w:pStyle w:val="Prrafodelista"/>
        <w:numPr>
          <w:ilvl w:val="0"/>
          <w:numId w:val="20"/>
        </w:numPr>
        <w:jc w:val="both"/>
        <w:rPr>
          <w:b/>
          <w:i/>
          <w:color w:val="4F81BD" w:themeColor="accent1"/>
          <w:sz w:val="24"/>
          <w:szCs w:val="24"/>
        </w:rPr>
      </w:pPr>
      <w:r w:rsidRPr="008B43F6">
        <w:rPr>
          <w:b/>
          <w:i/>
          <w:color w:val="4F81BD" w:themeColor="accent1"/>
          <w:sz w:val="24"/>
          <w:szCs w:val="24"/>
        </w:rPr>
        <w:t>Reducción de la contaminación del aire al exterior de las viviendas</w:t>
      </w:r>
    </w:p>
    <w:p w:rsidR="002C0CCF" w:rsidRPr="008B43F6" w:rsidRDefault="002C0CCF" w:rsidP="00EA15E2">
      <w:pPr>
        <w:jc w:val="both"/>
      </w:pPr>
      <w:r w:rsidRPr="008B43F6">
        <w:t xml:space="preserve">La contaminación del aire al exterior de las viviendas se reduce a través de una disminución en la quema de combustibles fósiles para la generación de electricidad, la minimización del efecto de isla de calor en periodos cálidos mediante la reducción del consumo de energía local, etc. Este co-beneficio también puede producir efectos positivos de mayor alcance tales como evitar los daños a las construcciones de edificios </w:t>
      </w:r>
      <w:r w:rsidRPr="008B43F6">
        <w:fldChar w:fldCharType="begin"/>
      </w:r>
      <w:r w:rsidR="00251C87">
        <w:instrText xml:space="preserve"> ADDIN EN.CITE &lt;EndNote&gt;&lt;Cite&gt;&lt;Author&gt;Managan&lt;/Author&gt;&lt;Year&gt;2011&lt;/Year&gt;&lt;RecNum&gt;17&lt;/RecNum&gt;&lt;DisplayText&gt;[3, 41]&lt;/DisplayText&gt;&lt;record&gt;&lt;rec-number&gt;17&lt;/rec-number&gt;&lt;foreign-keys&gt;&lt;key app="EN" db-id="w0w9edzzlxxfdgesvf359ft8wzxverspwaav"&gt;17&lt;/key&gt;&lt;/foreign-keys&gt;&lt;ref-type name="Report"&gt;27&lt;/ref-type&gt;&lt;contributors&gt;&lt;authors&gt;&lt;author&gt;Katrina Managan&lt;/author&gt;&lt;author&gt;Jennifer Layke&lt;/author&gt;&lt;author&gt;Monica Araya&lt;/author&gt;&lt;author&gt;Clay Nesler&lt;/author&gt;&lt;/authors&gt;&lt;/contributors&gt;&lt;titles&gt;&lt;title&gt;Driving Transformation to Energy Efficient Buildings Policies and Actions&lt;/title&gt;&lt;/titles&gt;&lt;dates&gt;&lt;year&gt;2011&lt;/year&gt;&lt;/dates&gt;&lt;publisher&gt;Institute for buliding efficiency, Business Council for Sustainable Energy, Center for Clean Air Policy, US Green Building Council and World Green Building Council&lt;/publisher&gt;&lt;urls&gt;&lt;related-urls&gt;&lt;url&gt;http://www.ccap.org/docs/fck/file/Driving%20Transformation%20to%20Energy%20Efficient%20Buildings%20Johnson%20Controls.pdf&lt;/url&gt;&lt;/related-urls&gt;&lt;/urls&gt;&lt;/record&gt;&lt;/Cite&gt;&lt;Cite&gt;&lt;Author&gt;Ürge-Vorsatz&lt;/Author&gt;&lt;Year&gt;2009&lt;/Year&gt;&lt;RecNum&gt;23&lt;/RecNum&gt;&lt;record&gt;&lt;rec-number&gt;23&lt;/rec-number&gt;&lt;foreign-keys&gt;&lt;key app="EN" db-id="w0w9edzzlxxfdgesvf359ft8wzxverspwaav"&gt;23&lt;/key&gt;&lt;/foreign-keys&gt;&lt;ref-type name="Conference Paper"&gt;47&lt;/ref-type&gt;&lt;contributors&gt;&lt;authors&gt;&lt;author&gt;Diana Ürge-Vorsatz&lt;/author&gt;&lt;author&gt;Aleksandra Novikova&lt;/author&gt;&lt;author&gt;Maria Sharmina&lt;/author&gt;&lt;/authors&gt;&lt;/contributors&gt;&lt;titles&gt;&lt;title&gt;Counting good: quantifying the co-benefits of improved efficiency in buildings&lt;/title&gt;&lt;secondary-title&gt;European Council for an Energy Efficient Economy&lt;/secondary-title&gt;&lt;/titles&gt;&lt;dates&gt;&lt;year&gt;2009&lt;/year&gt;&lt;/dates&gt;&lt;urls&gt;&lt;/urls&gt;&lt;custom1&gt;France&lt;/custom1&gt;&lt;/record&gt;&lt;/Cite&gt;&lt;/EndNote&gt;</w:instrText>
      </w:r>
      <w:r w:rsidRPr="008B43F6">
        <w:fldChar w:fldCharType="separate"/>
      </w:r>
      <w:r w:rsidR="00251C87">
        <w:rPr>
          <w:noProof/>
        </w:rPr>
        <w:t>[</w:t>
      </w:r>
      <w:hyperlink w:anchor="_ENREF_3" w:tooltip="Ürge-Vorsatz, 2009 #23" w:history="1">
        <w:r w:rsidR="00251C87">
          <w:rPr>
            <w:noProof/>
          </w:rPr>
          <w:t>3</w:t>
        </w:r>
      </w:hyperlink>
      <w:r w:rsidR="00251C87">
        <w:rPr>
          <w:noProof/>
        </w:rPr>
        <w:t xml:space="preserve">, </w:t>
      </w:r>
      <w:hyperlink w:anchor="_ENREF_41" w:tooltip="Managan, 2011 #17" w:history="1">
        <w:r w:rsidR="00251C87">
          <w:rPr>
            <w:noProof/>
          </w:rPr>
          <w:t>41</w:t>
        </w:r>
      </w:hyperlink>
      <w:r w:rsidR="00251C87">
        <w:rPr>
          <w:noProof/>
        </w:rPr>
        <w:t>]</w:t>
      </w:r>
      <w:r w:rsidRPr="008B43F6">
        <w:fldChar w:fldCharType="end"/>
      </w:r>
      <w:r w:rsidRPr="008B43F6">
        <w:t xml:space="preserve">. </w:t>
      </w:r>
    </w:p>
    <w:p w:rsidR="002C0CCF" w:rsidRPr="008B43F6" w:rsidRDefault="002C0CCF" w:rsidP="00EA15E2">
      <w:pPr>
        <w:pStyle w:val="Prrafodelista"/>
        <w:numPr>
          <w:ilvl w:val="0"/>
          <w:numId w:val="20"/>
        </w:numPr>
        <w:jc w:val="both"/>
        <w:rPr>
          <w:b/>
          <w:i/>
          <w:color w:val="4F81BD" w:themeColor="accent1"/>
          <w:sz w:val="24"/>
          <w:szCs w:val="24"/>
        </w:rPr>
      </w:pPr>
      <w:r w:rsidRPr="008B43F6">
        <w:rPr>
          <w:b/>
          <w:i/>
          <w:color w:val="4F81BD" w:themeColor="accent1"/>
          <w:sz w:val="24"/>
          <w:szCs w:val="24"/>
        </w:rPr>
        <w:t>Reducción de la mortalidad</w:t>
      </w:r>
    </w:p>
    <w:p w:rsidR="002C0CCF" w:rsidRPr="008B43F6" w:rsidRDefault="002C0CCF" w:rsidP="00EA15E2">
      <w:pPr>
        <w:jc w:val="both"/>
        <w:rPr>
          <w:bCs/>
          <w:iCs/>
        </w:rPr>
      </w:pPr>
      <w:r w:rsidRPr="008B43F6">
        <w:rPr>
          <w:bCs/>
          <w:iCs/>
        </w:rPr>
        <w:t xml:space="preserve">La mortalidad se reduce a través de una disminución de la contaminación del aire tanto al interior como al exterior de las viviendas, y del estrés térmico en mejores construcciones. La reducción de la mortalidad conduce hacia a un aumento en el número de días laborales de las personas </w:t>
      </w:r>
      <w:r w:rsidRPr="008B43F6">
        <w:rPr>
          <w:bCs/>
          <w:iCs/>
        </w:rPr>
        <w:fldChar w:fldCharType="begin">
          <w:fldData xml:space="preserve">PEVuZE5vdGU+PENpdGU+PEF1dGhvcj7DnHJnZS1Wb3JzYXR6PC9BdXRob3I+PFllYXI+MjAwOTwv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</w:fldData>
        </w:fldChar>
      </w:r>
      <w:r w:rsidR="00251C87">
        <w:rPr>
          <w:bCs/>
          <w:iCs/>
        </w:rPr>
        <w:instrText xml:space="preserve"> ADDIN EN.CITE </w:instrText>
      </w:r>
      <w:r w:rsidR="00251C87">
        <w:rPr>
          <w:bCs/>
          <w:iCs/>
        </w:rPr>
        <w:fldChar w:fldCharType="begin">
          <w:fldData xml:space="preserve">PEVuZE5vdGU+PENpdGU+PEF1dGhvcj7DnHJnZS1Wb3JzYXR6PC9BdXRob3I+PFllYXI+MjAwOTwv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</w:fldData>
        </w:fldChar>
      </w:r>
      <w:r w:rsidR="00251C87">
        <w:rPr>
          <w:bCs/>
          <w:iCs/>
        </w:rPr>
        <w:instrText xml:space="preserve"> ADDIN EN.CITE.DATA </w:instrText>
      </w:r>
      <w:r w:rsidR="00251C87">
        <w:rPr>
          <w:bCs/>
          <w:iCs/>
        </w:rPr>
      </w:r>
      <w:r w:rsidR="00251C87">
        <w:rPr>
          <w:bCs/>
          <w:iCs/>
        </w:rPr>
        <w:fldChar w:fldCharType="end"/>
      </w:r>
      <w:r w:rsidRPr="008B43F6">
        <w:rPr>
          <w:bCs/>
          <w:iCs/>
        </w:rPr>
      </w:r>
      <w:r w:rsidRPr="008B43F6">
        <w:rPr>
          <w:bCs/>
          <w:iCs/>
        </w:rPr>
        <w:fldChar w:fldCharType="separate"/>
      </w:r>
      <w:r w:rsidR="00251C87">
        <w:rPr>
          <w:bCs/>
          <w:iCs/>
          <w:noProof/>
        </w:rPr>
        <w:t>[</w:t>
      </w:r>
      <w:hyperlink w:anchor="_ENREF_1" w:tooltip="Röbbel, 2011 #16" w:history="1">
        <w:r w:rsidR="00251C87">
          <w:rPr>
            <w:bCs/>
            <w:iCs/>
            <w:noProof/>
          </w:rPr>
          <w:t>1</w:t>
        </w:r>
      </w:hyperlink>
      <w:r w:rsidR="00251C87">
        <w:rPr>
          <w:bCs/>
          <w:iCs/>
          <w:noProof/>
        </w:rPr>
        <w:t xml:space="preserve">, </w:t>
      </w:r>
      <w:hyperlink w:anchor="_ENREF_3" w:tooltip="Ürge-Vorsatz, 2009 #23" w:history="1">
        <w:r w:rsidR="00251C87">
          <w:rPr>
            <w:bCs/>
            <w:iCs/>
            <w:noProof/>
          </w:rPr>
          <w:t>3</w:t>
        </w:r>
      </w:hyperlink>
      <w:r w:rsidR="00251C87">
        <w:rPr>
          <w:bCs/>
          <w:iCs/>
          <w:noProof/>
        </w:rPr>
        <w:t xml:space="preserve">, </w:t>
      </w:r>
      <w:hyperlink w:anchor="_ENREF_36" w:tooltip="Heffner, 2011 #14" w:history="1">
        <w:r w:rsidR="00251C87">
          <w:rPr>
            <w:bCs/>
            <w:iCs/>
            <w:noProof/>
          </w:rPr>
          <w:t>36</w:t>
        </w:r>
      </w:hyperlink>
      <w:r w:rsidR="00251C87">
        <w:rPr>
          <w:bCs/>
          <w:iCs/>
          <w:noProof/>
        </w:rPr>
        <w:t>]</w:t>
      </w:r>
      <w:r w:rsidRPr="008B43F6">
        <w:rPr>
          <w:bCs/>
          <w:iCs/>
        </w:rPr>
        <w:fldChar w:fldCharType="end"/>
      </w:r>
      <w:r w:rsidRPr="008B43F6">
        <w:rPr>
          <w:bCs/>
          <w:iCs/>
        </w:rPr>
        <w:t>.</w:t>
      </w:r>
    </w:p>
    <w:p w:rsidR="002C0CCF" w:rsidRPr="008B43F6" w:rsidRDefault="002C0CCF" w:rsidP="00EA15E2">
      <w:pPr>
        <w:pStyle w:val="Prrafodelista"/>
        <w:numPr>
          <w:ilvl w:val="0"/>
          <w:numId w:val="20"/>
        </w:numPr>
        <w:jc w:val="both"/>
        <w:rPr>
          <w:b/>
          <w:i/>
          <w:color w:val="4F81BD" w:themeColor="accent1"/>
          <w:sz w:val="24"/>
          <w:szCs w:val="24"/>
        </w:rPr>
      </w:pPr>
      <w:r w:rsidRPr="008B43F6">
        <w:rPr>
          <w:b/>
          <w:i/>
          <w:color w:val="4F81BD" w:themeColor="accent1"/>
          <w:sz w:val="24"/>
          <w:szCs w:val="24"/>
        </w:rPr>
        <w:t xml:space="preserve">Reducción de la morbilidad </w:t>
      </w:r>
    </w:p>
    <w:p w:rsidR="002C0CCF" w:rsidRPr="008B43F6" w:rsidRDefault="002C0CCF" w:rsidP="00EA15E2">
      <w:pPr>
        <w:jc w:val="both"/>
        <w:rPr>
          <w:bCs/>
          <w:iCs/>
        </w:rPr>
      </w:pPr>
      <w:r w:rsidRPr="008B43F6">
        <w:rPr>
          <w:bCs/>
          <w:iCs/>
        </w:rPr>
        <w:t xml:space="preserve">Las inversiones en viviendas adaptadas a las condiciones climáticas y energéticamente eficientes, pueden reducir significativamente la transmisión de enfermedades infecciosas y ayudar a prevenir muchas de las enfermedades no transmisibles. Muchas de las mejoras en las viviendas también pueden mejorar la salud mental y la sensación de bienestar. La morbilidad se reduce a través de los impactos arriba descritos, y mediante una mejor iluminación, la reducción del moho, una ergonomía amable, mejor ventilación, etcétera. De este modo, se pueden lograr otros co-beneficios, como evitar ingresos a hospitales, recetas de medicamentos, días inactivos, y pérdidas de productividad </w:t>
      </w:r>
      <w:r w:rsidRPr="008B43F6">
        <w:rPr>
          <w:bCs/>
          <w:iCs/>
        </w:rPr>
        <w:fldChar w:fldCharType="begin">
          <w:fldData xml:space="preserve">PEVuZE5vdGU+PENpdGU+PEF1dGhvcj7DnHJnZS1Wb3JzYXR6PC9BdXRob3I+PFllYXI+MjAwOTwv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</w:fldData>
        </w:fldChar>
      </w:r>
      <w:r w:rsidR="00251C87">
        <w:rPr>
          <w:bCs/>
          <w:iCs/>
        </w:rPr>
        <w:instrText xml:space="preserve"> ADDIN EN.CITE </w:instrText>
      </w:r>
      <w:r w:rsidR="00251C87">
        <w:rPr>
          <w:bCs/>
          <w:iCs/>
        </w:rPr>
        <w:fldChar w:fldCharType="begin">
          <w:fldData xml:space="preserve">PEVuZE5vdGU+PENpdGU+PEF1dGhvcj7DnHJnZS1Wb3JzYXR6PC9BdXRob3I+PFllYXI+MjAwOTwv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</w:fldData>
        </w:fldChar>
      </w:r>
      <w:r w:rsidR="00251C87">
        <w:rPr>
          <w:bCs/>
          <w:iCs/>
        </w:rPr>
        <w:instrText xml:space="preserve"> ADDIN EN.CITE.DATA </w:instrText>
      </w:r>
      <w:r w:rsidR="00251C87">
        <w:rPr>
          <w:bCs/>
          <w:iCs/>
        </w:rPr>
      </w:r>
      <w:r w:rsidR="00251C87">
        <w:rPr>
          <w:bCs/>
          <w:iCs/>
        </w:rPr>
        <w:fldChar w:fldCharType="end"/>
      </w:r>
      <w:r w:rsidRPr="008B43F6">
        <w:rPr>
          <w:bCs/>
          <w:iCs/>
        </w:rPr>
      </w:r>
      <w:r w:rsidRPr="008B43F6">
        <w:rPr>
          <w:bCs/>
          <w:iCs/>
        </w:rPr>
        <w:fldChar w:fldCharType="separate"/>
      </w:r>
      <w:r w:rsidR="00251C87">
        <w:rPr>
          <w:bCs/>
          <w:iCs/>
          <w:noProof/>
        </w:rPr>
        <w:t>[</w:t>
      </w:r>
      <w:hyperlink w:anchor="_ENREF_1" w:tooltip="Röbbel, 2011 #16" w:history="1">
        <w:r w:rsidR="00251C87">
          <w:rPr>
            <w:bCs/>
            <w:iCs/>
            <w:noProof/>
          </w:rPr>
          <w:t>1</w:t>
        </w:r>
      </w:hyperlink>
      <w:r w:rsidR="00251C87">
        <w:rPr>
          <w:bCs/>
          <w:iCs/>
          <w:noProof/>
        </w:rPr>
        <w:t xml:space="preserve">, </w:t>
      </w:r>
      <w:hyperlink w:anchor="_ENREF_3" w:tooltip="Ürge-Vorsatz, 2009 #23" w:history="1">
        <w:r w:rsidR="00251C87">
          <w:rPr>
            <w:bCs/>
            <w:iCs/>
            <w:noProof/>
          </w:rPr>
          <w:t>3</w:t>
        </w:r>
      </w:hyperlink>
      <w:r w:rsidR="00251C87">
        <w:rPr>
          <w:bCs/>
          <w:iCs/>
          <w:noProof/>
        </w:rPr>
        <w:t xml:space="preserve">, </w:t>
      </w:r>
      <w:hyperlink w:anchor="_ENREF_36" w:tooltip="Heffner, 2011 #14" w:history="1">
        <w:r w:rsidR="00251C87">
          <w:rPr>
            <w:bCs/>
            <w:iCs/>
            <w:noProof/>
          </w:rPr>
          <w:t>36</w:t>
        </w:r>
      </w:hyperlink>
      <w:r w:rsidR="00251C87">
        <w:rPr>
          <w:bCs/>
          <w:iCs/>
          <w:noProof/>
        </w:rPr>
        <w:t>]</w:t>
      </w:r>
      <w:r w:rsidRPr="008B43F6">
        <w:rPr>
          <w:bCs/>
          <w:iCs/>
        </w:rPr>
        <w:fldChar w:fldCharType="end"/>
      </w:r>
      <w:r w:rsidRPr="008B43F6">
        <w:rPr>
          <w:bCs/>
          <w:iCs/>
        </w:rPr>
        <w:t>.</w:t>
      </w:r>
    </w:p>
    <w:p w:rsidR="002C0CCF" w:rsidRPr="008B43F6" w:rsidRDefault="002C0CCF" w:rsidP="00EA15E2">
      <w:pPr>
        <w:pStyle w:val="Prrafodelista"/>
        <w:numPr>
          <w:ilvl w:val="0"/>
          <w:numId w:val="20"/>
        </w:numPr>
        <w:jc w:val="both"/>
        <w:rPr>
          <w:b/>
          <w:i/>
          <w:color w:val="4F81BD" w:themeColor="accent1"/>
          <w:sz w:val="24"/>
          <w:szCs w:val="24"/>
        </w:rPr>
      </w:pPr>
      <w:r w:rsidRPr="008B43F6">
        <w:rPr>
          <w:b/>
          <w:i/>
          <w:color w:val="4F81BD" w:themeColor="accent1"/>
          <w:sz w:val="24"/>
          <w:szCs w:val="24"/>
        </w:rPr>
        <w:t xml:space="preserve">Reducción de efectos fisiológicos </w:t>
      </w:r>
    </w:p>
    <w:p w:rsidR="002C0CCF" w:rsidRPr="008B43F6" w:rsidRDefault="002C0CCF" w:rsidP="00EA15E2">
      <w:pPr>
        <w:jc w:val="both"/>
        <w:rPr>
          <w:color w:val="000000"/>
        </w:rPr>
      </w:pPr>
      <w:r w:rsidRPr="008B43F6">
        <w:rPr>
          <w:color w:val="000000"/>
        </w:rPr>
        <w:t xml:space="preserve">Las mejoras en la salud y el bienestar también conducen hacia la obtención de mejores beneficios de aprendizaje y productividad ocasionados por una mejor concentración, y a la generación de ahorros al evitar el "síndrome del edificio enfermo" </w:t>
      </w:r>
      <w:r w:rsidRPr="008B43F6">
        <w:rPr>
          <w:color w:val="000000"/>
        </w:rPr>
        <w:fldChar w:fldCharType="begin"/>
      </w:r>
      <w:r w:rsidRPr="008B43F6">
        <w:rPr>
          <w:color w:val="000000"/>
        </w:rPr>
        <w:instrText xml:space="preserve"> ADDIN EN.CITE &lt;EndNote&gt;&lt;Cite&gt;&lt;Author&gt;Ürge-Vorsatz&lt;/Author&gt;&lt;Year&gt;2009&lt;/Year&gt;&lt;RecNum&gt;23&lt;/RecNum&gt;&lt;DisplayText&gt;[1, 3]&lt;/DisplayText&gt;&lt;record&gt;&lt;rec-number&gt;23&lt;/rec-number&gt;&lt;foreign-keys&gt;&lt;key app="EN" db-id="w0w9edzzlxxfdgesvf359ft8wzxverspwaav"&gt;23&lt;/key&gt;&lt;/foreign-keys&gt;&lt;ref-type name="Conference Paper"&gt;47&lt;/ref-type&gt;&lt;contributors&gt;&lt;authors&gt;&lt;author&gt;Diana Ürge-Vorsatz&lt;/author&gt;&lt;author&gt;Aleksandra Novikova&lt;/author&gt;&lt;author&gt;Maria Sharmina&lt;/author&gt;&lt;/authors&gt;&lt;/contributors&gt;&lt;titles&gt;&lt;title&gt;Counting good: quantifying the co-benefits of improved efficiency in buildings&lt;/title&gt;&lt;secondary-title&gt;European Council for an Energy Efficient Economy&lt;/secondary-title&gt;&lt;/titles&gt;&lt;dates&gt;&lt;year&gt;2009&lt;/year&gt;&lt;/dates&gt;&lt;urls&gt;&lt;/urls&gt;&lt;custom1&gt;France&lt;/custom1&gt;&lt;/record&gt;&lt;/Cite&gt;&lt;Cite&gt;&lt;Author&gt;Röbbel&lt;/Author&gt;&lt;Year&gt;2011&lt;/Year&gt;&lt;RecNum&gt;16&lt;/RecNum&gt;&lt;record&gt;&lt;rec-number&gt;16&lt;/rec-number&gt;&lt;foreign-keys&gt;&lt;key app="EN" db-id="w0w9edzzlxxfdgesvf359ft8wzxverspwaav"&gt;16&lt;/key&gt;&lt;/foreign-keys&gt;&lt;ref-type name="Report"&gt;27&lt;/ref-type&gt;&lt;contributors&gt;&lt;authors&gt;&lt;author&gt;Nathalie Röbbel&lt;/author&gt;&lt;/authors&gt;&lt;/contributors&gt;&lt;titles&gt;&lt;title&gt;Health co-benefits of climate change mitigation – Housing sector&lt;/title&gt;&lt;secondary-title&gt;Health in the green economy&lt;/secondary-title&gt;&lt;/titles&gt;&lt;dates&gt;&lt;year&gt;2011&lt;/year&gt;&lt;/dates&gt;&lt;pub-location&gt;Geneva, Switzerland&lt;/pub-location&gt;&lt;publisher&gt;World Health Organization&lt;/publisher&gt;&lt;urls&gt;&lt;related-urls&gt;&lt;url&gt;http://whqlibdoc.who.int/publications/2011/9789241501712_eng.pdf&lt;/url&gt;&lt;/related-urls&gt;&lt;/urls&gt;&lt;/record&gt;&lt;/Cite&gt;&lt;/EndNote&gt;</w:instrText>
      </w:r>
      <w:r w:rsidRPr="008B43F6">
        <w:rPr>
          <w:color w:val="000000"/>
        </w:rPr>
        <w:fldChar w:fldCharType="separate"/>
      </w:r>
      <w:r w:rsidRPr="008B43F6">
        <w:rPr>
          <w:noProof/>
          <w:color w:val="000000"/>
        </w:rPr>
        <w:t>[</w:t>
      </w:r>
      <w:hyperlink w:anchor="_ENREF_1" w:tooltip="Röbbel, 2011 #16" w:history="1">
        <w:r w:rsidR="00251C87" w:rsidRPr="008B43F6">
          <w:rPr>
            <w:noProof/>
            <w:color w:val="000000"/>
          </w:rPr>
          <w:t>1</w:t>
        </w:r>
      </w:hyperlink>
      <w:r w:rsidRPr="008B43F6">
        <w:rPr>
          <w:noProof/>
          <w:color w:val="000000"/>
        </w:rPr>
        <w:t xml:space="preserve">, </w:t>
      </w:r>
      <w:hyperlink w:anchor="_ENREF_3" w:tooltip="Ürge-Vorsatz, 2009 #23" w:history="1">
        <w:r w:rsidR="00251C87" w:rsidRPr="008B43F6">
          <w:rPr>
            <w:noProof/>
            <w:color w:val="000000"/>
          </w:rPr>
          <w:t>3</w:t>
        </w:r>
      </w:hyperlink>
      <w:r w:rsidRPr="008B43F6">
        <w:rPr>
          <w:noProof/>
          <w:color w:val="000000"/>
        </w:rPr>
        <w:t>]</w:t>
      </w:r>
      <w:r w:rsidRPr="008B43F6">
        <w:rPr>
          <w:color w:val="000000"/>
        </w:rPr>
        <w:fldChar w:fldCharType="end"/>
      </w:r>
      <w:r w:rsidRPr="008B43F6">
        <w:rPr>
          <w:color w:val="000000"/>
        </w:rPr>
        <w:t>.</w:t>
      </w:r>
    </w:p>
    <w:p w:rsidR="002C0CCF" w:rsidRPr="008B43F6" w:rsidRDefault="002C0CCF" w:rsidP="00EA15E2">
      <w:pPr>
        <w:jc w:val="both"/>
        <w:rPr>
          <w:b/>
          <w:color w:val="4F81BD" w:themeColor="accent1"/>
          <w:sz w:val="26"/>
          <w:szCs w:val="26"/>
        </w:rPr>
      </w:pPr>
      <w:r w:rsidRPr="008B43F6">
        <w:rPr>
          <w:b/>
          <w:color w:val="4F81BD" w:themeColor="accent1"/>
          <w:sz w:val="26"/>
          <w:szCs w:val="26"/>
        </w:rPr>
        <w:t xml:space="preserve"> Co-beneficios en la prestación de servicios energéticos</w:t>
      </w:r>
    </w:p>
    <w:p w:rsidR="002C0CCF" w:rsidRPr="008B43F6" w:rsidRDefault="002C0CCF" w:rsidP="00EA15E2">
      <w:pPr>
        <w:jc w:val="both"/>
      </w:pPr>
      <w:r w:rsidRPr="008B43F6">
        <w:t>Los co-beneficios de la prestación de servicios se refieren a los ahorros en costos, tiempo y recursos que obtienen las compañías de servicios de energía, como consecuencia de las medidas de eficiencia energética, que posiblemente se traducen en mejoras en la prestación de servicios.</w:t>
      </w:r>
    </w:p>
    <w:p w:rsidR="002C0CCF" w:rsidRPr="008B43F6" w:rsidRDefault="002C0CCF" w:rsidP="00EA15E2">
      <w:pPr>
        <w:pStyle w:val="Prrafodelista"/>
        <w:numPr>
          <w:ilvl w:val="0"/>
          <w:numId w:val="20"/>
        </w:numPr>
        <w:jc w:val="both"/>
        <w:rPr>
          <w:b/>
          <w:i/>
          <w:color w:val="4F81BD" w:themeColor="accent1"/>
          <w:sz w:val="24"/>
          <w:szCs w:val="24"/>
        </w:rPr>
      </w:pPr>
      <w:r w:rsidRPr="008B43F6">
        <w:rPr>
          <w:b/>
          <w:i/>
          <w:color w:val="4F81BD" w:themeColor="accent1"/>
          <w:sz w:val="24"/>
          <w:szCs w:val="24"/>
        </w:rPr>
        <w:lastRenderedPageBreak/>
        <w:t>Menos cortes y re-conexiones del servicio ocasionados por negligencia en los pagos</w:t>
      </w:r>
    </w:p>
    <w:p w:rsidR="002C0CCF" w:rsidRPr="008B43F6" w:rsidRDefault="002C0CCF" w:rsidP="00EA15E2">
      <w:pPr>
        <w:jc w:val="both"/>
      </w:pPr>
      <w:r w:rsidRPr="008B43F6">
        <w:t xml:space="preserve">Es menos probable que las familias que habitan en viviendas energéticamente eficientes se atrasen en el pago de sus facturas, lo que significa que también es menos probable que les corte el servicio de luz, gas o agua por falta de pago. Debido a que las empresas que suministran dichos servicios incurren en costos tanto para desconectarlos, como para volverlos a conectar, por el solo hecho de que estas familias puedan pagar sus cuentas y mantener el servicio funcionando, ya están ahorrando dinero </w:t>
      </w:r>
      <w:r w:rsidRPr="008B43F6">
        <w:fldChar w:fldCharType="begin">
          <w:fldData xml:space="preserve">PEVuZE5vdGU+PENpdGU+PEF1dGhvcj5IZWZmbmVyPC9BdXRob3I+PFllYXI+MjAxMTwvWWVhcj48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</w:fldData>
        </w:fldChar>
      </w:r>
      <w:r w:rsidR="00251C87">
        <w:instrText xml:space="preserve"> ADDIN EN.CITE </w:instrText>
      </w:r>
      <w:r w:rsidR="00251C87">
        <w:fldChar w:fldCharType="begin">
          <w:fldData xml:space="preserve">PEVuZE5vdGU+PENpdGU+PEF1dGhvcj5IZWZmbmVyPC9BdXRob3I+PFllYXI+MjAxMTwvWWVhcj48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</w:fldData>
        </w:fldChar>
      </w:r>
      <w:r w:rsidR="00251C87">
        <w:instrText xml:space="preserve"> ADDIN EN.CITE.DATA </w:instrText>
      </w:r>
      <w:r w:rsidR="00251C87">
        <w:fldChar w:fldCharType="end"/>
      </w:r>
      <w:r w:rsidRPr="008B43F6">
        <w:fldChar w:fldCharType="separate"/>
      </w:r>
      <w:r w:rsidR="00251C87">
        <w:rPr>
          <w:noProof/>
        </w:rPr>
        <w:t>[</w:t>
      </w:r>
      <w:hyperlink w:anchor="_ENREF_36" w:tooltip="Heffner, 2011 #14" w:history="1">
        <w:r w:rsidR="00251C87">
          <w:rPr>
            <w:noProof/>
          </w:rPr>
          <w:t>36</w:t>
        </w:r>
      </w:hyperlink>
      <w:r w:rsidR="00251C87">
        <w:rPr>
          <w:noProof/>
        </w:rPr>
        <w:t xml:space="preserve">, </w:t>
      </w:r>
      <w:hyperlink w:anchor="_ENREF_39" w:tooltip="Schweitzer, 2002 #12" w:history="1">
        <w:r w:rsidR="00251C87">
          <w:rPr>
            <w:noProof/>
          </w:rPr>
          <w:t>39</w:t>
        </w:r>
      </w:hyperlink>
      <w:r w:rsidR="00251C87">
        <w:rPr>
          <w:noProof/>
        </w:rPr>
        <w:t>]</w:t>
      </w:r>
      <w:r w:rsidRPr="008B43F6">
        <w:fldChar w:fldCharType="end"/>
      </w:r>
      <w:r w:rsidRPr="008B43F6">
        <w:t>.</w:t>
      </w:r>
    </w:p>
    <w:p w:rsidR="002C0CCF" w:rsidRPr="008B43F6" w:rsidRDefault="002C0CCF" w:rsidP="00EA15E2">
      <w:pPr>
        <w:pStyle w:val="Prrafodelista"/>
        <w:numPr>
          <w:ilvl w:val="0"/>
          <w:numId w:val="20"/>
        </w:numPr>
        <w:jc w:val="both"/>
        <w:rPr>
          <w:b/>
          <w:i/>
          <w:color w:val="4F81BD" w:themeColor="accent1"/>
          <w:sz w:val="24"/>
          <w:szCs w:val="24"/>
        </w:rPr>
      </w:pPr>
      <w:r w:rsidRPr="008B43F6">
        <w:rPr>
          <w:b/>
          <w:i/>
          <w:color w:val="4F81BD" w:themeColor="accent1"/>
          <w:sz w:val="24"/>
          <w:szCs w:val="24"/>
        </w:rPr>
        <w:t xml:space="preserve">Reducción de gastos en notificaciones, cobros y llamadas a clientes </w:t>
      </w:r>
    </w:p>
    <w:p w:rsidR="002C0CCF" w:rsidRPr="008B43F6" w:rsidRDefault="002C0CCF" w:rsidP="00EA15E2">
      <w:pPr>
        <w:jc w:val="both"/>
      </w:pPr>
      <w:r w:rsidRPr="008B43F6">
        <w:t xml:space="preserve">Las familias que cuentan con servicios de eficiencia energética tienden a disminuir su consumo de energía, y esto disminuye el monto de sus facturas y se les hace más fácil pagarlas. De la misma manera, las instituciones públicas de suministro de agua, gas y electricidad no tienen que enviar tantos recordatorios a sus clientes morosos, ni recibir tantas llamadas de los clientes con relación a estas situaciones. Todo esto se traduce en un ahorro tanto en materiales, como en el tiempo del personal que labora en estas instituciones </w:t>
      </w:r>
      <w:r w:rsidRPr="008B43F6">
        <w:fldChar w:fldCharType="begin">
          <w:fldData xml:space="preserve">PEVuZE5vdGU+PENpdGU+PEF1dGhvcj5TY2h3ZWl0emVyPC9BdXRob3I+PFllYXI+MjAwMjwvWWVh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</w:fldData>
        </w:fldChar>
      </w:r>
      <w:r w:rsidR="00251C87">
        <w:instrText xml:space="preserve"> ADDIN EN.CITE </w:instrText>
      </w:r>
      <w:r w:rsidR="00251C87">
        <w:fldChar w:fldCharType="begin">
          <w:fldData xml:space="preserve">PEVuZE5vdGU+PENpdGU+PEF1dGhvcj5TY2h3ZWl0emVyPC9BdXRob3I+PFllYXI+MjAwMjwvWWVh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</w:fldData>
        </w:fldChar>
      </w:r>
      <w:r w:rsidR="00251C87">
        <w:instrText xml:space="preserve"> ADDIN EN.CITE.DATA </w:instrText>
      </w:r>
      <w:r w:rsidR="00251C87">
        <w:fldChar w:fldCharType="end"/>
      </w:r>
      <w:r w:rsidRPr="008B43F6">
        <w:fldChar w:fldCharType="separate"/>
      </w:r>
      <w:r w:rsidR="00251C87">
        <w:rPr>
          <w:noProof/>
        </w:rPr>
        <w:t>[</w:t>
      </w:r>
      <w:hyperlink w:anchor="_ENREF_36" w:tooltip="Heffner, 2011 #14" w:history="1">
        <w:r w:rsidR="00251C87">
          <w:rPr>
            <w:noProof/>
          </w:rPr>
          <w:t>36</w:t>
        </w:r>
      </w:hyperlink>
      <w:r w:rsidR="00251C87">
        <w:rPr>
          <w:noProof/>
        </w:rPr>
        <w:t xml:space="preserve">, </w:t>
      </w:r>
      <w:hyperlink w:anchor="_ENREF_39" w:tooltip="Schweitzer, 2002 #12" w:history="1">
        <w:r w:rsidR="00251C87">
          <w:rPr>
            <w:noProof/>
          </w:rPr>
          <w:t>39</w:t>
        </w:r>
      </w:hyperlink>
      <w:r w:rsidR="00251C87">
        <w:rPr>
          <w:noProof/>
        </w:rPr>
        <w:t>]</w:t>
      </w:r>
      <w:r w:rsidRPr="008B43F6">
        <w:fldChar w:fldCharType="end"/>
      </w:r>
    </w:p>
    <w:p w:rsidR="002C0CCF" w:rsidRPr="008B43F6" w:rsidRDefault="002C0CCF" w:rsidP="00EA15E2">
      <w:pPr>
        <w:pStyle w:val="Prrafodelista"/>
        <w:numPr>
          <w:ilvl w:val="0"/>
          <w:numId w:val="20"/>
        </w:numPr>
        <w:jc w:val="both"/>
        <w:rPr>
          <w:b/>
          <w:i/>
          <w:color w:val="4F81BD" w:themeColor="accent1"/>
          <w:sz w:val="24"/>
          <w:szCs w:val="24"/>
        </w:rPr>
      </w:pPr>
      <w:r w:rsidRPr="008B43F6">
        <w:rPr>
          <w:b/>
          <w:i/>
          <w:color w:val="4F81BD" w:themeColor="accent1"/>
          <w:sz w:val="24"/>
          <w:szCs w:val="24"/>
        </w:rPr>
        <w:t>Menor cancelación de deuda impagable</w:t>
      </w:r>
    </w:p>
    <w:p w:rsidR="002C0CCF" w:rsidRPr="008B43F6" w:rsidRDefault="002C0CCF" w:rsidP="00EA15E2">
      <w:pPr>
        <w:jc w:val="both"/>
        <w:rPr>
          <w:bCs/>
        </w:rPr>
      </w:pPr>
      <w:r w:rsidRPr="008B43F6">
        <w:rPr>
          <w:bCs/>
        </w:rPr>
        <w:t xml:space="preserve">Las mejoras en la eficiencia energética de las viviendas llevan a una disminución en el tamaño promedio de las deudas incobrables canceladas y en el número de ese tipo de cuentas debido a que las facturas por concepto de servicios de energía son por montos bajos, y por lo tanto se vuelven más accesibles para un mayor número de hogares </w:t>
      </w:r>
      <w:r w:rsidRPr="008B43F6">
        <w:rPr>
          <w:bCs/>
        </w:rPr>
        <w:fldChar w:fldCharType="begin"/>
      </w:r>
      <w:r w:rsidR="00251C87">
        <w:rPr>
          <w:bCs/>
        </w:rPr>
        <w:instrText xml:space="preserve"> ADDIN EN.CITE &lt;EndNote&gt;&lt;Cite&gt;&lt;Author&gt;Schweitzer&lt;/Author&gt;&lt;Year&gt;2002&lt;/Year&gt;&lt;RecNum&gt;12&lt;/RecNum&gt;&lt;DisplayText&gt;[39]&lt;/DisplayText&gt;&lt;record&gt;&lt;rec-number&gt;12&lt;/rec-number&gt;&lt;foreign-keys&gt;&lt;key app="EN" db-id="w0w9edzzlxxfdgesvf359ft8wzxverspwaav"&gt;12&lt;/key&gt;&lt;/foreign-keys&gt;&lt;ref-type name="Report"&gt;27&lt;/ref-type&gt;&lt;contributors&gt;&lt;authors&gt;&lt;author&gt;Martin Schweitzer&lt;/author&gt;&lt;author&gt;Bruce Tonn&lt;/author&gt;&lt;/authors&gt;&lt;/contributors&gt;&lt;titles&gt;&lt;title&gt;Nonenergy benefits from the weatherization assistance program: a summary of findings from the recent literature&lt;/title&gt;&lt;/titles&gt;&lt;dates&gt;&lt;year&gt;2002&lt;/year&gt;&lt;/dates&gt;&lt;pub-location&gt;Springfield, VA&lt;/pub-location&gt;&lt;publisher&gt;OAK RIDGE NATIONAL LABORATORY&lt;/publisher&gt;&lt;urls&gt;&lt;related-urls&gt;&lt;url&gt;http://weatherization.ornl.gov/pdfs/ORNL_CON-484.pdf&lt;/url&gt;&lt;/related-urls&gt;&lt;/urls&gt;&lt;access-date&gt;09/08/12&lt;/access-date&gt;&lt;/record&gt;&lt;/Cite&gt;&lt;/EndNote&gt;</w:instrText>
      </w:r>
      <w:r w:rsidRPr="008B43F6">
        <w:rPr>
          <w:bCs/>
        </w:rPr>
        <w:fldChar w:fldCharType="separate"/>
      </w:r>
      <w:r w:rsidR="00251C87">
        <w:rPr>
          <w:bCs/>
          <w:noProof/>
        </w:rPr>
        <w:t>[</w:t>
      </w:r>
      <w:hyperlink w:anchor="_ENREF_39" w:tooltip="Schweitzer, 2002 #12" w:history="1">
        <w:r w:rsidR="00251C87">
          <w:rPr>
            <w:bCs/>
            <w:noProof/>
          </w:rPr>
          <w:t>39</w:t>
        </w:r>
      </w:hyperlink>
      <w:r w:rsidR="00251C87">
        <w:rPr>
          <w:bCs/>
          <w:noProof/>
        </w:rPr>
        <w:t>]</w:t>
      </w:r>
      <w:r w:rsidRPr="008B43F6">
        <w:rPr>
          <w:bCs/>
        </w:rPr>
        <w:fldChar w:fldCharType="end"/>
      </w:r>
      <w:r w:rsidRPr="008B43F6">
        <w:rPr>
          <w:bCs/>
        </w:rPr>
        <w:t>.</w:t>
      </w:r>
    </w:p>
    <w:p w:rsidR="002C0CCF" w:rsidRPr="008B43F6" w:rsidRDefault="002C0CCF" w:rsidP="00EA15E2">
      <w:pPr>
        <w:pStyle w:val="Prrafodelista"/>
        <w:numPr>
          <w:ilvl w:val="0"/>
          <w:numId w:val="20"/>
        </w:numPr>
        <w:jc w:val="both"/>
        <w:rPr>
          <w:b/>
          <w:i/>
          <w:color w:val="4F81BD" w:themeColor="accent1"/>
          <w:sz w:val="24"/>
          <w:szCs w:val="24"/>
        </w:rPr>
      </w:pPr>
      <w:r w:rsidRPr="008B43F6">
        <w:rPr>
          <w:b/>
          <w:i/>
          <w:color w:val="4F81BD" w:themeColor="accent1"/>
          <w:sz w:val="24"/>
          <w:szCs w:val="24"/>
        </w:rPr>
        <w:t>Reducción de pérdidas de transmisión y distribución</w:t>
      </w:r>
    </w:p>
    <w:p w:rsidR="002C0CCF" w:rsidRPr="008B43F6" w:rsidRDefault="002C0CCF" w:rsidP="00EA15E2">
      <w:pPr>
        <w:jc w:val="both"/>
        <w:rPr>
          <w:bCs/>
        </w:rPr>
      </w:pPr>
      <w:r w:rsidRPr="008B43F6">
        <w:rPr>
          <w:bCs/>
        </w:rPr>
        <w:t xml:space="preserve">Las medidas para lograr la eficiencia energética se traducen en un bajo consumo de la energía (por ejemplo, gas o electricidad)que es transportada a los hogares, y esto a su vez resulta en una disminución en la cantidad de pérdidas. Una de las consecuencias naturales de transportar energía eléctrica a lo largo de las líneas de transmisión y distribución (T&amp;D), es la pérdida de una determinada cantidad de la misma. Estas pérdidas son asumidas tanto por la empresa responsable de dicha transmisión y distribución, como por sus clientes. Así como mediante los programas de eficiencia energética se reduce el consumo de electricidad en las viviendas, también se reduce la cantidad de electricidad que se debe transportar, y esto a su vez resulta en una disminución de las pérdidas que se producen por concepto de su T&amp;D </w:t>
      </w:r>
      <w:r w:rsidRPr="008B43F6">
        <w:rPr>
          <w:bCs/>
        </w:rPr>
        <w:fldChar w:fldCharType="begin"/>
      </w:r>
      <w:r w:rsidR="00251C87">
        <w:rPr>
          <w:bCs/>
        </w:rPr>
        <w:instrText xml:space="preserve"> ADDIN EN.CITE &lt;EndNote&gt;&lt;Cite&gt;&lt;Author&gt;Schweitzer&lt;/Author&gt;&lt;Year&gt;2002&lt;/Year&gt;&lt;RecNum&gt;12&lt;/RecNum&gt;&lt;DisplayText&gt;[39]&lt;/DisplayText&gt;&lt;record&gt;&lt;rec-number&gt;12&lt;/rec-number&gt;&lt;foreign-keys&gt;&lt;key app="EN" db-id="w0w9edzzlxxfdgesvf359ft8wzxverspwaav"&gt;12&lt;/key&gt;&lt;/foreign-keys&gt;&lt;ref-type name="Report"&gt;27&lt;/ref-type&gt;&lt;contributors&gt;&lt;authors&gt;&lt;author&gt;Martin Schweitzer&lt;/author&gt;&lt;author&gt;Bruce Tonn&lt;/author&gt;&lt;/authors&gt;&lt;/contributors&gt;&lt;titles&gt;&lt;title&gt;Nonenergy benefits from the weatherization assistance program: a summary of findings from the recent literature&lt;/title&gt;&lt;/titles&gt;&lt;dates&gt;&lt;year&gt;2002&lt;/year&gt;&lt;/dates&gt;&lt;pub-location&gt;Springfield, VA&lt;/pub-location&gt;&lt;publisher&gt;OAK RIDGE NATIONAL LABORATORY&lt;/publisher&gt;&lt;urls&gt;&lt;related-urls&gt;&lt;url&gt;http://weatherization.ornl.gov/pdfs/ORNL_CON-484.pdf&lt;/url&gt;&lt;/related-urls&gt;&lt;/urls&gt;&lt;access-date&gt;09/08/12&lt;/access-date&gt;&lt;/record&gt;&lt;/Cite&gt;&lt;/EndNote&gt;</w:instrText>
      </w:r>
      <w:r w:rsidRPr="008B43F6">
        <w:rPr>
          <w:bCs/>
        </w:rPr>
        <w:fldChar w:fldCharType="separate"/>
      </w:r>
      <w:r w:rsidR="00251C87">
        <w:rPr>
          <w:bCs/>
          <w:noProof/>
        </w:rPr>
        <w:t>[</w:t>
      </w:r>
      <w:hyperlink w:anchor="_ENREF_39" w:tooltip="Schweitzer, 2002 #12" w:history="1">
        <w:r w:rsidR="00251C87">
          <w:rPr>
            <w:bCs/>
            <w:noProof/>
          </w:rPr>
          <w:t>39</w:t>
        </w:r>
      </w:hyperlink>
      <w:r w:rsidR="00251C87">
        <w:rPr>
          <w:bCs/>
          <w:noProof/>
        </w:rPr>
        <w:t>]</w:t>
      </w:r>
      <w:r w:rsidRPr="008B43F6">
        <w:rPr>
          <w:bCs/>
        </w:rPr>
        <w:fldChar w:fldCharType="end"/>
      </w:r>
      <w:r w:rsidRPr="008B43F6">
        <w:rPr>
          <w:bCs/>
        </w:rPr>
        <w:t>.</w:t>
      </w:r>
    </w:p>
    <w:p w:rsidR="002C0CCF" w:rsidRPr="008B43F6" w:rsidRDefault="002C0CCF" w:rsidP="00EA15E2">
      <w:pPr>
        <w:jc w:val="both"/>
        <w:rPr>
          <w:b/>
          <w:bCs/>
          <w:color w:val="4F81BD" w:themeColor="accent1"/>
          <w:sz w:val="26"/>
          <w:szCs w:val="26"/>
        </w:rPr>
      </w:pPr>
      <w:r w:rsidRPr="008B43F6">
        <w:rPr>
          <w:b/>
          <w:bCs/>
          <w:color w:val="4F81BD" w:themeColor="accent1"/>
          <w:sz w:val="26"/>
          <w:szCs w:val="26"/>
        </w:rPr>
        <w:t>Co- Beneficios ambientales</w:t>
      </w:r>
    </w:p>
    <w:p w:rsidR="002C0CCF" w:rsidRPr="008B43F6" w:rsidRDefault="002C0CCF" w:rsidP="00EA15E2">
      <w:pPr>
        <w:jc w:val="both"/>
      </w:pPr>
      <w:r w:rsidRPr="008B43F6">
        <w:t>Los beneficios ambientales son aquellos relacionados con el mejoramiento del medio ambiente, tales como la reducción de los desperdicios y el aumento de la vegetación.</w:t>
      </w:r>
    </w:p>
    <w:p w:rsidR="002C0CCF" w:rsidRPr="008B43F6" w:rsidRDefault="002C0CCF" w:rsidP="00EA15E2">
      <w:pPr>
        <w:pStyle w:val="Prrafodelista"/>
        <w:numPr>
          <w:ilvl w:val="0"/>
          <w:numId w:val="20"/>
        </w:numPr>
        <w:jc w:val="both"/>
        <w:rPr>
          <w:b/>
          <w:i/>
          <w:color w:val="4F81BD" w:themeColor="accent1"/>
          <w:sz w:val="24"/>
          <w:szCs w:val="24"/>
        </w:rPr>
      </w:pPr>
      <w:r w:rsidRPr="008B43F6">
        <w:rPr>
          <w:b/>
          <w:i/>
          <w:color w:val="4F81BD" w:themeColor="accent1"/>
          <w:sz w:val="24"/>
          <w:szCs w:val="24"/>
        </w:rPr>
        <w:t>Reducción del escombro producido por las construcciones y demoliciones</w:t>
      </w:r>
    </w:p>
    <w:p w:rsidR="002C0CCF" w:rsidRPr="008B43F6" w:rsidRDefault="002C0CCF" w:rsidP="00EA15E2">
      <w:pPr>
        <w:jc w:val="both"/>
      </w:pPr>
      <w:r w:rsidRPr="008B43F6">
        <w:lastRenderedPageBreak/>
        <w:t xml:space="preserve">La tasa de residuos puede ser reducida debido a que el manejo de residuos de construcción y demolición es una parte vital de la iniciativa "edificios verdes”. Según la definición de la Agencia de Protección Ambiental de los EE.UU, esta iniciativa incluye una cuidadosa planificación de la “reducción, reutilización y reciclaje de los residuos generados por la construcción de edificios, la renovación, la deconstrucción y la demolición” </w:t>
      </w:r>
      <w:r w:rsidRPr="008B43F6">
        <w:fldChar w:fldCharType="begin"/>
      </w:r>
      <w:r w:rsidR="00251C87">
        <w:instrText xml:space="preserve"> ADDIN EN.CITE &lt;EndNote&gt;&lt;Cite&gt;&lt;Author&gt;Managan&lt;/Author&gt;&lt;Year&gt;2011&lt;/Year&gt;&lt;RecNum&gt;17&lt;/RecNum&gt;&lt;DisplayText&gt;[3, 41]&lt;/DisplayText&gt;&lt;record&gt;&lt;rec-number&gt;17&lt;/rec-number&gt;&lt;foreign-keys&gt;&lt;key app="EN" db-id="w0w9edzzlxxfdgesvf359ft8wzxverspwaav"&gt;17&lt;/key&gt;&lt;/foreign-keys&gt;&lt;ref-type name="Report"&gt;27&lt;/ref-type&gt;&lt;contributors&gt;&lt;authors&gt;&lt;author&gt;Katrina Managan&lt;/author&gt;&lt;author&gt;Jennifer Layke&lt;/author&gt;&lt;author&gt;Monica Araya&lt;/author&gt;&lt;author&gt;Clay Nesler&lt;/author&gt;&lt;/authors&gt;&lt;/contributors&gt;&lt;titles&gt;&lt;title&gt;Driving Transformation to Energy Efficient Buildings Policies and Actions&lt;/title&gt;&lt;/titles&gt;&lt;dates&gt;&lt;year&gt;2011&lt;/year&gt;&lt;/dates&gt;&lt;publisher&gt;Institute for buliding efficiency, Business Council for Sustainable Energy, Center for Clean Air Policy, US Green Building Council and World Green Building Council&lt;/publisher&gt;&lt;urls&gt;&lt;related-urls&gt;&lt;url&gt;http://www.ccap.org/docs/fck/file/Driving%20Transformation%20to%20Energy%20Efficient%20Buildings%20Johnson%20Controls.pdf&lt;/url&gt;&lt;/related-urls&gt;&lt;/urls&gt;&lt;/record&gt;&lt;/Cite&gt;&lt;Cite&gt;&lt;Author&gt;Ürge-Vorsatz&lt;/Author&gt;&lt;Year&gt;2009&lt;/Year&gt;&lt;RecNum&gt;23&lt;/RecNum&gt;&lt;record&gt;&lt;rec-number&gt;23&lt;/rec-number&gt;&lt;foreign-keys&gt;&lt;key app="EN" db-id="w0w9edzzlxxfdgesvf359ft8wzxverspwaav"&gt;23&lt;/key&gt;&lt;/foreign-keys&gt;&lt;ref-type name="Conference Paper"&gt;47&lt;/ref-type&gt;&lt;contributors&gt;&lt;authors&gt;&lt;author&gt;Diana Ürge-Vorsatz&lt;/author&gt;&lt;author&gt;Aleksandra Novikova&lt;/author&gt;&lt;author&gt;Maria Sharmina&lt;/author&gt;&lt;/authors&gt;&lt;/contributors&gt;&lt;titles&gt;&lt;title&gt;Counting good: quantifying the co-benefits of improved efficiency in buildings&lt;/title&gt;&lt;secondary-title&gt;European Council for an Energy Efficient Economy&lt;/secondary-title&gt;&lt;/titles&gt;&lt;dates&gt;&lt;year&gt;2009&lt;/year&gt;&lt;/dates&gt;&lt;urls&gt;&lt;/urls&gt;&lt;custom1&gt;France&lt;/custom1&gt;&lt;/record&gt;&lt;/Cite&gt;&lt;/EndNote&gt;</w:instrText>
      </w:r>
      <w:r w:rsidRPr="008B43F6">
        <w:fldChar w:fldCharType="separate"/>
      </w:r>
      <w:r w:rsidR="00251C87">
        <w:rPr>
          <w:noProof/>
        </w:rPr>
        <w:t>[</w:t>
      </w:r>
      <w:hyperlink w:anchor="_ENREF_3" w:tooltip="Ürge-Vorsatz, 2009 #23" w:history="1">
        <w:r w:rsidR="00251C87">
          <w:rPr>
            <w:noProof/>
          </w:rPr>
          <w:t>3</w:t>
        </w:r>
      </w:hyperlink>
      <w:r w:rsidR="00251C87">
        <w:rPr>
          <w:noProof/>
        </w:rPr>
        <w:t xml:space="preserve">, </w:t>
      </w:r>
      <w:hyperlink w:anchor="_ENREF_41" w:tooltip="Managan, 2011 #17" w:history="1">
        <w:r w:rsidR="00251C87">
          <w:rPr>
            <w:noProof/>
          </w:rPr>
          <w:t>41</w:t>
        </w:r>
      </w:hyperlink>
      <w:r w:rsidR="00251C87">
        <w:rPr>
          <w:noProof/>
        </w:rPr>
        <w:t>]</w:t>
      </w:r>
      <w:r w:rsidRPr="008B43F6">
        <w:fldChar w:fldCharType="end"/>
      </w:r>
      <w:r w:rsidRPr="008B43F6">
        <w:t>.</w:t>
      </w:r>
    </w:p>
    <w:p w:rsidR="002C0CCF" w:rsidRPr="008B43F6" w:rsidRDefault="002C0CCF" w:rsidP="00EA15E2">
      <w:pPr>
        <w:pStyle w:val="Prrafodelista"/>
        <w:numPr>
          <w:ilvl w:val="0"/>
          <w:numId w:val="20"/>
        </w:numPr>
        <w:jc w:val="both"/>
        <w:rPr>
          <w:b/>
          <w:i/>
          <w:color w:val="4F81BD" w:themeColor="accent1"/>
          <w:sz w:val="24"/>
          <w:szCs w:val="24"/>
        </w:rPr>
      </w:pPr>
      <w:r w:rsidRPr="008B43F6">
        <w:rPr>
          <w:b/>
          <w:i/>
          <w:color w:val="4F81BD" w:themeColor="accent1"/>
          <w:sz w:val="24"/>
          <w:szCs w:val="24"/>
        </w:rPr>
        <w:t>Aumento en la vegetación urbana</w:t>
      </w:r>
    </w:p>
    <w:p w:rsidR="002C0CCF" w:rsidRPr="008B43F6" w:rsidRDefault="002C0CCF" w:rsidP="00EA15E2">
      <w:pPr>
        <w:jc w:val="both"/>
        <w:rPr>
          <w:b/>
          <w:i/>
          <w:iCs/>
          <w:color w:val="000000"/>
        </w:rPr>
      </w:pPr>
      <w:r w:rsidRPr="008B43F6">
        <w:rPr>
          <w:iCs/>
          <w:color w:val="000000"/>
        </w:rPr>
        <w:t xml:space="preserve">Este es un co-beneficio que se obtiene, por ejemplo, de las azoteas y los muros verdes. Está relacionado con </w:t>
      </w:r>
      <w:r w:rsidRPr="008B43F6">
        <w:rPr>
          <w:iCs/>
        </w:rPr>
        <w:t xml:space="preserve">las mejoras estéticas de las que se habló anteriormente </w:t>
      </w:r>
      <w:r w:rsidRPr="008B43F6">
        <w:rPr>
          <w:iCs/>
          <w:color w:val="000000"/>
        </w:rPr>
        <w:fldChar w:fldCharType="begin"/>
      </w:r>
      <w:r w:rsidRPr="008B43F6">
        <w:rPr>
          <w:iCs/>
          <w:color w:val="000000"/>
        </w:rPr>
        <w:instrText xml:space="preserve"> ADDIN EN.CITE &lt;EndNote&gt;&lt;Cite&gt;&lt;Author&gt;Ürge-Vorsatz&lt;/Author&gt;&lt;Year&gt;2009&lt;/Year&gt;&lt;RecNum&gt;23&lt;/RecNum&gt;&lt;DisplayText&gt;[3]&lt;/DisplayText&gt;&lt;record&gt;&lt;rec-number&gt;23&lt;/rec-number&gt;&lt;foreign-keys&gt;&lt;key app="EN" db-id="w0w9edzzlxxfdgesvf359ft8wzxverspwaav"&gt;23&lt;/key&gt;&lt;/foreign-keys&gt;&lt;ref-type name="Conference Paper"&gt;47&lt;/ref-type&gt;&lt;contributors&gt;&lt;authors&gt;&lt;author&gt;Diana Ürge-Vorsatz&lt;/author&gt;&lt;author&gt;Aleksandra Novikova&lt;/author&gt;&lt;author&gt;Maria Sharmina&lt;/author&gt;&lt;/authors&gt;&lt;/contributors&gt;&lt;titles&gt;&lt;title&gt;Counting good: quantifying the co-benefits of improved efficiency in buildings&lt;/title&gt;&lt;secondary-title&gt;European Council for an Energy Efficient Economy&lt;/secondary-title&gt;&lt;/titles&gt;&lt;dates&gt;&lt;year&gt;2009&lt;/year&gt;&lt;/dates&gt;&lt;urls&gt;&lt;/urls&gt;&lt;custom1&gt;France&lt;/custom1&gt;&lt;/record&gt;&lt;/Cite&gt;&lt;/EndNote&gt;</w:instrText>
      </w:r>
      <w:r w:rsidRPr="008B43F6">
        <w:rPr>
          <w:iCs/>
          <w:color w:val="000000"/>
        </w:rPr>
        <w:fldChar w:fldCharType="separate"/>
      </w:r>
      <w:r w:rsidRPr="008B43F6">
        <w:rPr>
          <w:iCs/>
          <w:noProof/>
          <w:color w:val="000000"/>
        </w:rPr>
        <w:t>[</w:t>
      </w:r>
      <w:hyperlink w:anchor="_ENREF_3" w:tooltip="Ürge-Vorsatz, 2009 #23" w:history="1">
        <w:r w:rsidR="00251C87" w:rsidRPr="008B43F6">
          <w:rPr>
            <w:iCs/>
            <w:noProof/>
            <w:color w:val="000000"/>
          </w:rPr>
          <w:t>3</w:t>
        </w:r>
      </w:hyperlink>
      <w:r w:rsidRPr="008B43F6">
        <w:rPr>
          <w:iCs/>
          <w:noProof/>
          <w:color w:val="000000"/>
        </w:rPr>
        <w:t>]</w:t>
      </w:r>
      <w:r w:rsidRPr="008B43F6">
        <w:rPr>
          <w:iCs/>
          <w:color w:val="000000"/>
        </w:rPr>
        <w:fldChar w:fldCharType="end"/>
      </w:r>
      <w:r w:rsidRPr="008B43F6">
        <w:rPr>
          <w:iCs/>
          <w:color w:val="000000"/>
        </w:rPr>
        <w:t>.</w:t>
      </w:r>
    </w:p>
    <w:p w:rsidR="002C0CCF" w:rsidRPr="008B43F6" w:rsidRDefault="002C0CCF" w:rsidP="00EA15E2">
      <w:pPr>
        <w:pStyle w:val="Prrafodelista"/>
        <w:numPr>
          <w:ilvl w:val="0"/>
          <w:numId w:val="20"/>
        </w:numPr>
        <w:jc w:val="both"/>
        <w:rPr>
          <w:b/>
          <w:i/>
          <w:color w:val="4F81BD" w:themeColor="accent1"/>
          <w:sz w:val="24"/>
          <w:szCs w:val="24"/>
        </w:rPr>
      </w:pPr>
      <w:bookmarkStart w:id="100" w:name="Reducedglobalwarmingimpacts"/>
      <w:r w:rsidRPr="008B43F6">
        <w:rPr>
          <w:b/>
          <w:i/>
          <w:color w:val="4F81BD" w:themeColor="accent1"/>
          <w:sz w:val="24"/>
          <w:szCs w:val="24"/>
        </w:rPr>
        <w:t>Reducción de los impactos del calentamiento global</w:t>
      </w:r>
      <w:bookmarkEnd w:id="100"/>
    </w:p>
    <w:p w:rsidR="002C0CCF" w:rsidRPr="008B43F6" w:rsidRDefault="002C0CCF" w:rsidP="00EA15E2">
      <w:pPr>
        <w:jc w:val="both"/>
        <w:rPr>
          <w:bCs/>
        </w:rPr>
      </w:pPr>
      <w:r w:rsidRPr="008B43F6">
        <w:rPr>
          <w:bCs/>
        </w:rPr>
        <w:t xml:space="preserve">Los edificios energéticamente eficientes contribuyen en menor grado al calentamiento global y por lo tanto disminuyen los posibles impactos derivados de este fenómeno </w:t>
      </w:r>
      <w:bookmarkStart w:id="101" w:name="Minimizedozonedepletion"/>
      <w:r w:rsidRPr="008B43F6">
        <w:rPr>
          <w:bCs/>
        </w:rPr>
        <w:fldChar w:fldCharType="begin"/>
      </w:r>
      <w:r w:rsidR="00251C87">
        <w:rPr>
          <w:bCs/>
        </w:rPr>
        <w:instrText xml:space="preserve"> ADDIN EN.CITE &lt;EndNote&gt;&lt;Cite&gt;&lt;Author&gt;Wilson&lt;/Author&gt;&lt;Year&gt;2005&lt;/Year&gt;&lt;RecNum&gt;29&lt;/RecNum&gt;&lt;DisplayText&gt;[37]&lt;/DisplayText&gt;&lt;record&gt;&lt;rec-number&gt;29&lt;/rec-number&gt;&lt;foreign-keys&gt;&lt;key app="EN" db-id="w0w9edzzlxxfdgesvf359ft8wzxverspwaav"&gt;29&lt;/key&gt;&lt;/foreign-keys&gt;&lt;ref-type name="Newspaper Article"&gt;23&lt;/ref-type&gt;&lt;contributors&gt;&lt;authors&gt;&lt;author&gt;Alex Wilson &lt;/author&gt;&lt;/authors&gt;&lt;/contributors&gt;&lt;titles&gt;&lt;title&gt;Making the Case for Green Building &lt;/title&gt;&lt;secondary-title&gt;Environmental Building News&lt;/secondary-title&gt;&lt;/titles&gt;&lt;dates&gt;&lt;year&gt;2005&lt;/year&gt;&lt;pub-dates&gt;&lt;date&gt;April 1, 2005&lt;/date&gt;&lt;/pub-dates&gt;&lt;/dates&gt;&lt;work-type&gt;Feature&lt;/work-type&gt;&lt;urls&gt;&lt;/urls&gt;&lt;/record&gt;&lt;/Cite&gt;&lt;/EndNote&gt;</w:instrText>
      </w:r>
      <w:r w:rsidRPr="008B43F6">
        <w:rPr>
          <w:bCs/>
        </w:rPr>
        <w:fldChar w:fldCharType="separate"/>
      </w:r>
      <w:r w:rsidR="00251C87">
        <w:rPr>
          <w:bCs/>
          <w:noProof/>
        </w:rPr>
        <w:t>[</w:t>
      </w:r>
      <w:hyperlink w:anchor="_ENREF_37" w:tooltip="Wilson, 2005 #29" w:history="1">
        <w:r w:rsidR="00251C87">
          <w:rPr>
            <w:bCs/>
            <w:noProof/>
          </w:rPr>
          <w:t>37</w:t>
        </w:r>
      </w:hyperlink>
      <w:r w:rsidR="00251C87">
        <w:rPr>
          <w:bCs/>
          <w:noProof/>
        </w:rPr>
        <w:t>]</w:t>
      </w:r>
      <w:r w:rsidRPr="008B43F6">
        <w:rPr>
          <w:bCs/>
        </w:rPr>
        <w:fldChar w:fldCharType="end"/>
      </w:r>
      <w:r w:rsidRPr="008B43F6">
        <w:rPr>
          <w:bCs/>
        </w:rPr>
        <w:t>.</w:t>
      </w:r>
    </w:p>
    <w:p w:rsidR="002C0CCF" w:rsidRPr="008B43F6" w:rsidRDefault="002C0CCF" w:rsidP="00EA15E2">
      <w:pPr>
        <w:pStyle w:val="Prrafodelista"/>
        <w:numPr>
          <w:ilvl w:val="0"/>
          <w:numId w:val="20"/>
        </w:numPr>
        <w:jc w:val="both"/>
        <w:rPr>
          <w:b/>
          <w:i/>
          <w:color w:val="4F81BD" w:themeColor="accent1"/>
          <w:sz w:val="24"/>
          <w:szCs w:val="24"/>
        </w:rPr>
      </w:pPr>
      <w:r w:rsidRPr="008B43F6">
        <w:rPr>
          <w:b/>
          <w:i/>
          <w:color w:val="4F81BD" w:themeColor="accent1"/>
          <w:sz w:val="24"/>
          <w:szCs w:val="24"/>
        </w:rPr>
        <w:t xml:space="preserve">Minimización del agotamiento de la capa de ozono </w:t>
      </w:r>
      <w:bookmarkEnd w:id="101"/>
    </w:p>
    <w:p w:rsidR="002C0CCF" w:rsidRPr="008B43F6" w:rsidRDefault="002C0CCF" w:rsidP="00EA15E2">
      <w:pPr>
        <w:jc w:val="both"/>
        <w:rPr>
          <w:bCs/>
        </w:rPr>
      </w:pPr>
      <w:r w:rsidRPr="008B43F6">
        <w:rPr>
          <w:bCs/>
        </w:rPr>
        <w:t xml:space="preserve">Los edificios verdes minimizan la utilización (y la liberación) de sustancias que contribuyen al agotamiento del ozono. Con la renovación de los edificios existentes se pueden tomar medidas para capturar y destruir sustancias que lo destruyen tales como los refrigerantes y los agentes soplados </w:t>
      </w:r>
      <w:r w:rsidRPr="008B43F6">
        <w:rPr>
          <w:bCs/>
        </w:rPr>
        <w:fldChar w:fldCharType="begin"/>
      </w:r>
      <w:r w:rsidR="00251C87">
        <w:rPr>
          <w:bCs/>
        </w:rPr>
        <w:instrText xml:space="preserve"> ADDIN EN.CITE &lt;EndNote&gt;&lt;Cite&gt;&lt;Author&gt;Wilson&lt;/Author&gt;&lt;Year&gt;2005&lt;/Year&gt;&lt;RecNum&gt;29&lt;/RecNum&gt;&lt;DisplayText&gt;[37]&lt;/DisplayText&gt;&lt;record&gt;&lt;rec-number&gt;29&lt;/rec-number&gt;&lt;foreign-keys&gt;&lt;key app="EN" db-id="w0w9edzzlxxfdgesvf359ft8wzxverspwaav"&gt;29&lt;/key&gt;&lt;/foreign-keys&gt;&lt;ref-type name="Newspaper Article"&gt;23&lt;/ref-type&gt;&lt;contributors&gt;&lt;authors&gt;&lt;author&gt;Alex Wilson &lt;/author&gt;&lt;/authors&gt;&lt;/contributors&gt;&lt;titles&gt;&lt;title&gt;Making the Case for Green Building &lt;/title&gt;&lt;secondary-title&gt;Environmental Building News&lt;/secondary-title&gt;&lt;/titles&gt;&lt;dates&gt;&lt;year&gt;2005&lt;/year&gt;&lt;pub-dates&gt;&lt;date&gt;April 1, 2005&lt;/date&gt;&lt;/pub-dates&gt;&lt;/dates&gt;&lt;work-type&gt;Feature&lt;/work-type&gt;&lt;urls&gt;&lt;/urls&gt;&lt;/record&gt;&lt;/Cite&gt;&lt;/EndNote&gt;</w:instrText>
      </w:r>
      <w:r w:rsidRPr="008B43F6">
        <w:rPr>
          <w:bCs/>
        </w:rPr>
        <w:fldChar w:fldCharType="separate"/>
      </w:r>
      <w:r w:rsidR="00251C87">
        <w:rPr>
          <w:bCs/>
          <w:noProof/>
        </w:rPr>
        <w:t>[</w:t>
      </w:r>
      <w:hyperlink w:anchor="_ENREF_37" w:tooltip="Wilson, 2005 #29" w:history="1">
        <w:r w:rsidR="00251C87">
          <w:rPr>
            <w:bCs/>
            <w:noProof/>
          </w:rPr>
          <w:t>37</w:t>
        </w:r>
      </w:hyperlink>
      <w:r w:rsidR="00251C87">
        <w:rPr>
          <w:bCs/>
          <w:noProof/>
        </w:rPr>
        <w:t>]</w:t>
      </w:r>
      <w:r w:rsidRPr="008B43F6">
        <w:rPr>
          <w:bCs/>
        </w:rPr>
        <w:fldChar w:fldCharType="end"/>
      </w:r>
      <w:r w:rsidRPr="008B43F6">
        <w:rPr>
          <w:bCs/>
        </w:rPr>
        <w:t xml:space="preserve">. </w:t>
      </w:r>
    </w:p>
    <w:p w:rsidR="002C0CCF" w:rsidRPr="008B43F6" w:rsidRDefault="002C0CCF" w:rsidP="00EA15E2">
      <w:pPr>
        <w:pStyle w:val="Prrafodelista"/>
        <w:numPr>
          <w:ilvl w:val="0"/>
          <w:numId w:val="20"/>
        </w:numPr>
        <w:jc w:val="both"/>
        <w:rPr>
          <w:b/>
          <w:i/>
          <w:color w:val="4F81BD" w:themeColor="accent1"/>
          <w:sz w:val="24"/>
          <w:szCs w:val="24"/>
        </w:rPr>
      </w:pPr>
      <w:r w:rsidRPr="008B43F6">
        <w:rPr>
          <w:b/>
          <w:i/>
          <w:color w:val="4F81BD" w:themeColor="accent1"/>
          <w:sz w:val="24"/>
          <w:szCs w:val="24"/>
        </w:rPr>
        <w:t>Reducción de las islas de calor urbano</w:t>
      </w:r>
    </w:p>
    <w:p w:rsidR="002C0CCF" w:rsidRPr="008B43F6" w:rsidRDefault="002C0CCF" w:rsidP="00EA15E2">
      <w:pPr>
        <w:jc w:val="both"/>
        <w:rPr>
          <w:bCs/>
        </w:rPr>
      </w:pPr>
      <w:r w:rsidRPr="008B43F6">
        <w:rPr>
          <w:bCs/>
        </w:rPr>
        <w:t>Los tejados reflejantes y los techos verdes no contribuyen de manera significativa al efecto de isla de calor urbano, el cual provoca que en las zonas urbanas con muchas superficies oscuras, se registren temperaturas hasta 15°F (8°C) más altas que las que se registran en el campo subdesarrollado que las rodea. Entre más altas son las temperaturas del aire, hay más smog y los costos de enfriamiento también son más altos [6].</w:t>
      </w:r>
    </w:p>
    <w:p w:rsidR="002C0CCF" w:rsidRPr="008B43F6" w:rsidRDefault="002C0CCF" w:rsidP="00C92E54"/>
    <w:p w:rsidR="002C0CCF" w:rsidRPr="008B43F6" w:rsidRDefault="002C0CCF" w:rsidP="00C92E54">
      <w:pPr>
        <w:pStyle w:val="Ttulo1"/>
        <w:rPr>
          <w:rFonts w:asciiTheme="minorHAnsi" w:hAnsiTheme="minorHAnsi"/>
          <w:lang w:val="es-ES_tradnl"/>
        </w:rPr>
      </w:pPr>
      <w:bookmarkStart w:id="102" w:name="_Toc350212893"/>
      <w:bookmarkStart w:id="103" w:name="_Toc350874994"/>
      <w:bookmarkStart w:id="104" w:name="_Toc351397607"/>
      <w:r w:rsidRPr="008B43F6">
        <w:rPr>
          <w:rFonts w:asciiTheme="minorHAnsi" w:hAnsiTheme="minorHAnsi"/>
        </w:rPr>
        <w:t>Anexo II</w:t>
      </w:r>
      <w:r w:rsidR="00E51B35" w:rsidRPr="008B43F6">
        <w:rPr>
          <w:rFonts w:asciiTheme="minorHAnsi" w:hAnsiTheme="minorHAnsi"/>
        </w:rPr>
        <w:t>I.</w:t>
      </w:r>
      <w:r w:rsidRPr="008B43F6">
        <w:rPr>
          <w:rFonts w:asciiTheme="minorHAnsi" w:hAnsiTheme="minorHAnsi"/>
          <w:lang w:val="es-ES_tradnl"/>
        </w:rPr>
        <w:t xml:space="preserve"> La calidad del aire en interiores</w:t>
      </w:r>
      <w:bookmarkEnd w:id="102"/>
      <w:bookmarkEnd w:id="103"/>
      <w:bookmarkEnd w:id="104"/>
    </w:p>
    <w:p w:rsidR="002C0CCF" w:rsidRPr="008B43F6" w:rsidRDefault="002C0CCF" w:rsidP="00C92E54">
      <w:bookmarkStart w:id="105" w:name="_Toc347629455"/>
    </w:p>
    <w:p w:rsidR="002C0CCF" w:rsidRPr="008B43F6" w:rsidRDefault="002C0CCF" w:rsidP="00C92E54">
      <w:pPr>
        <w:rPr>
          <w:b/>
          <w:color w:val="4F81BD" w:themeColor="accent1"/>
          <w:sz w:val="24"/>
        </w:rPr>
      </w:pPr>
      <w:r w:rsidRPr="008B43F6">
        <w:rPr>
          <w:b/>
          <w:color w:val="4F81BD" w:themeColor="accent1"/>
          <w:sz w:val="24"/>
        </w:rPr>
        <w:t>Definición de calidad del aire en interiores</w:t>
      </w:r>
      <w:bookmarkEnd w:id="105"/>
    </w:p>
    <w:p w:rsidR="002C0CCF" w:rsidRPr="008B43F6" w:rsidRDefault="002C0CCF" w:rsidP="00C92E54">
      <w:pPr>
        <w:rPr>
          <w:rFonts w:cs="Times New Roman"/>
        </w:rPr>
      </w:pPr>
      <w:r w:rsidRPr="008B43F6">
        <w:rPr>
          <w:rFonts w:cs="Times New Roman"/>
        </w:rPr>
        <w:t xml:space="preserve">Los edificios existen principalmente para proporcionar un ambiente sano y confortable en el que las personas puedan trabajar y vivir. El ambiente interior debe mantenerse a una temperatura agradable y saludable, con un suministro suficiente de aire fresco, estar libre de humedad, corrientes de aire y contaminantes; también debe estar libre de ruido y bien iluminado </w:t>
      </w:r>
      <w:r w:rsidRPr="008B43F6">
        <w:rPr>
          <w:rFonts w:cs="Times New Roman"/>
          <w:lang w:val="en-US"/>
        </w:rPr>
        <w:fldChar w:fldCharType="begin"/>
      </w:r>
      <w:r w:rsidR="00251C87" w:rsidRPr="00251C87">
        <w:rPr>
          <w:rFonts w:cs="Times New Roman"/>
        </w:rPr>
        <w:instrText xml:space="preserve"> ADDIN EN.CITE &lt;EndNote&gt;&lt;Cite&gt;&lt;Author&gt;Alvarez&lt;/Author&gt;&lt;Year&gt;1996&lt;/Year&gt;&lt;RecNum&gt;41&lt;/RecNum&gt;&lt;DisplayText&gt;[45]&lt;/DisplayText&gt;&lt;record&gt;&lt;rec-number&gt;41&lt;/rec-number&gt;&lt;foreign-keys&gt;&lt;key app="EN" db-id="w0w9edzzlxxfdgesvf359ft8wzxverspwaav"&gt;41&lt;/key&gt;&lt;/foreign-keys&gt;&lt;ref-type name="Report"&gt;27&lt;/ref-type&gt;&lt;contributors&gt;&lt;authors&gt;&lt;author&gt;Servando Alvarez&lt;/author&gt;&lt;author&gt;Roger Baldwin&lt;/author&gt;&lt;author&gt;Geo Clausen&lt;/author&gt;&lt;author&gt;Eduardo De Oliveira&lt;/author&gt;&lt;author&gt;Sten Olaf Hansenn&lt;/author&gt;&lt;author&gt;George Helck&lt;/author&gt;&lt;/authors&gt;&lt;secondary-authors&gt;&lt;author&gt;European Collaborative Action&lt;/author&gt;&lt;/secondary-authors&gt;&lt;/contributors&gt;&lt;titles&gt;&lt;title&gt;Indoor Air Quality and the Use of Energy in Buildings&lt;/title&gt;&lt;secondary-title&gt;Indoor Air Quality and its Impact on Man&lt;/secondary-title&gt;&lt;/titles&gt;&lt;num-vols&gt;17&lt;/num-vols&gt;&lt;dates&gt;&lt;year&gt;1996&lt;/year&gt;&lt;/dates&gt;&lt;pub-location&gt;Brussels&lt;/pub-location&gt;&lt;publisher&gt;European Comission, Joint Research Centre, Environment Institute&lt;/publisher&gt;&lt;urls&gt;&lt;related-urls&gt;&lt;url&gt;http://www.inive.org/medias/ECA/ECA_Report17.pdf&lt;/url&gt;&lt;/related-urls&gt;&lt;/urls&gt;&lt;/record&gt;&lt;/Cite&gt;&lt;/EndNote&gt;</w:instrText>
      </w:r>
      <w:r w:rsidRPr="008B43F6">
        <w:rPr>
          <w:rFonts w:cs="Times New Roman"/>
          <w:lang w:val="en-US"/>
        </w:rPr>
        <w:fldChar w:fldCharType="separate"/>
      </w:r>
      <w:r w:rsidR="00251C87" w:rsidRPr="00251C87">
        <w:rPr>
          <w:rFonts w:cs="Times New Roman"/>
          <w:noProof/>
        </w:rPr>
        <w:t>[</w:t>
      </w:r>
      <w:hyperlink w:anchor="_ENREF_45" w:tooltip="Alvarez, 1996 #41" w:history="1">
        <w:r w:rsidR="00251C87" w:rsidRPr="00251C87">
          <w:rPr>
            <w:rFonts w:cs="Times New Roman"/>
            <w:noProof/>
          </w:rPr>
          <w:t>45</w:t>
        </w:r>
      </w:hyperlink>
      <w:r w:rsidR="00251C87" w:rsidRPr="00251C87">
        <w:rPr>
          <w:rFonts w:cs="Times New Roman"/>
          <w:noProof/>
        </w:rPr>
        <w:t>]</w:t>
      </w:r>
      <w:r w:rsidRPr="008B43F6">
        <w:rPr>
          <w:rFonts w:cs="Times New Roman"/>
          <w:lang w:val="en-US"/>
        </w:rPr>
        <w:fldChar w:fldCharType="end"/>
      </w:r>
      <w:r w:rsidRPr="008B43F6">
        <w:rPr>
          <w:rFonts w:cs="Times New Roman"/>
        </w:rPr>
        <w:t>.</w:t>
      </w:r>
    </w:p>
    <w:p w:rsidR="002C0CCF" w:rsidRPr="008B43F6" w:rsidRDefault="002C0CCF" w:rsidP="00C92E54">
      <w:pPr>
        <w:rPr>
          <w:rFonts w:cs="Times New Roman"/>
        </w:rPr>
      </w:pPr>
      <w:r w:rsidRPr="008B43F6">
        <w:rPr>
          <w:rFonts w:cs="Times New Roman"/>
        </w:rPr>
        <w:t xml:space="preserve">El término </w:t>
      </w:r>
      <w:r w:rsidRPr="008B43F6">
        <w:rPr>
          <w:rFonts w:cs="Times New Roman"/>
          <w:i/>
        </w:rPr>
        <w:t>ambiente interior</w:t>
      </w:r>
      <w:r w:rsidRPr="008B43F6">
        <w:rPr>
          <w:rFonts w:cs="Times New Roman"/>
        </w:rPr>
        <w:t xml:space="preserve"> se refiere a la combinación de los ambientes térmicos, atmosféricos, acústicos, mecánicos, psicológicos y estéticos. La calidad del aire en interiores se define en función </w:t>
      </w:r>
      <w:r w:rsidRPr="008B43F6">
        <w:rPr>
          <w:rFonts w:cs="Times New Roman"/>
        </w:rPr>
        <w:lastRenderedPageBreak/>
        <w:t xml:space="preserve">de la manera en la que todas las características del aire interior tienen un impacto en el hombre y está determinada principalmente por el ambiente atmosférico, particularmente por la presencia de contaminantes del aire en interiores. Sin embargo, otros componentes del ambiente interior, tales como la temperatura, la ionización y la humedad, pueden interferir con la percepción de la calidad del aire en interiores </w:t>
      </w:r>
      <w:r w:rsidRPr="008B43F6">
        <w:rPr>
          <w:rFonts w:cs="Times New Roman"/>
          <w:lang w:val="en-US"/>
        </w:rPr>
        <w:fldChar w:fldCharType="begin"/>
      </w:r>
      <w:r w:rsidR="00251C87" w:rsidRPr="00251C87">
        <w:rPr>
          <w:rFonts w:cs="Times New Roman"/>
        </w:rPr>
        <w:instrText xml:space="preserve"> ADDIN EN.CITE &lt;EndNote&gt;&lt;Cite&gt;&lt;Author&gt;Alvarez&lt;/Author&gt;&lt;Year&gt;1996&lt;/Year&gt;&lt;RecNum&gt;41&lt;/RecNum&gt;&lt;DisplayText&gt;[45]&lt;/DisplayText&gt;&lt;record&gt;&lt;rec-number&gt;41&lt;/rec-number&gt;&lt;foreign-keys&gt;&lt;key app="EN" db-id="w0w9edzzlxxfdgesvf359ft8wzxverspwaav"&gt;41&lt;/key&gt;&lt;/foreign-keys&gt;&lt;ref-type name="Report"&gt;27&lt;/ref-type&gt;&lt;contributors&gt;&lt;authors&gt;&lt;author&gt;Servando Alvarez&lt;/author&gt;&lt;author&gt;Roger Baldwin&lt;/author&gt;&lt;author&gt;Geo Clausen&lt;/author&gt;&lt;author&gt;Eduardo De Oliveira&lt;/author&gt;&lt;author&gt;Sten Olaf Hansenn&lt;/author&gt;&lt;author&gt;George Helck&lt;/author&gt;&lt;/authors&gt;&lt;secondary-authors&gt;&lt;author&gt;European Collaborative Action&lt;/author&gt;&lt;/secondary-authors&gt;&lt;/contributors&gt;&lt;titles&gt;&lt;title&gt;Indoor Air Quality and the Use of Energy in Buildings&lt;/title&gt;&lt;secondary-title&gt;Indoor Air Quality and its Impact on Man&lt;/secondary-title&gt;&lt;/titles&gt;&lt;num-vols&gt;17&lt;/num-vols&gt;&lt;dates&gt;&lt;year&gt;1996&lt;/year&gt;&lt;/dates&gt;&lt;pub-location&gt;Brussels&lt;/pub-location&gt;&lt;publisher&gt;European Comission, Joint Research Centre, Environment Institute&lt;/publisher&gt;&lt;urls&gt;&lt;related-urls&gt;&lt;url&gt;http://www.inive.org/medias/ECA/ECA_Report17.pdf&lt;/url&gt;&lt;/related-urls&gt;&lt;/urls&gt;&lt;/record&gt;&lt;/Cite&gt;&lt;/EndNote&gt;</w:instrText>
      </w:r>
      <w:r w:rsidRPr="008B43F6">
        <w:rPr>
          <w:rFonts w:cs="Times New Roman"/>
          <w:lang w:val="en-US"/>
        </w:rPr>
        <w:fldChar w:fldCharType="separate"/>
      </w:r>
      <w:r w:rsidR="00251C87" w:rsidRPr="00251C87">
        <w:rPr>
          <w:rFonts w:cs="Times New Roman"/>
          <w:noProof/>
        </w:rPr>
        <w:t>[</w:t>
      </w:r>
      <w:hyperlink w:anchor="_ENREF_45" w:tooltip="Alvarez, 1996 #41" w:history="1">
        <w:r w:rsidR="00251C87" w:rsidRPr="00251C87">
          <w:rPr>
            <w:rFonts w:cs="Times New Roman"/>
            <w:noProof/>
          </w:rPr>
          <w:t>45</w:t>
        </w:r>
      </w:hyperlink>
      <w:r w:rsidR="00251C87" w:rsidRPr="00251C87">
        <w:rPr>
          <w:rFonts w:cs="Times New Roman"/>
          <w:noProof/>
        </w:rPr>
        <w:t>]</w:t>
      </w:r>
      <w:r w:rsidRPr="008B43F6">
        <w:rPr>
          <w:rFonts w:cs="Times New Roman"/>
          <w:lang w:val="en-US"/>
        </w:rPr>
        <w:fldChar w:fldCharType="end"/>
      </w:r>
      <w:r w:rsidRPr="008B43F6">
        <w:rPr>
          <w:rFonts w:cs="Times New Roman"/>
        </w:rPr>
        <w:t>.</w:t>
      </w:r>
    </w:p>
    <w:p w:rsidR="002C0CCF" w:rsidRPr="008B43F6" w:rsidRDefault="002C0CCF" w:rsidP="00C92E54">
      <w:pPr>
        <w:rPr>
          <w:rFonts w:cs="MinionPro-Regular"/>
        </w:rPr>
      </w:pPr>
      <w:r w:rsidRPr="008B43F6">
        <w:rPr>
          <w:rFonts w:cs="MinionPro-Regular"/>
        </w:rPr>
        <w:t xml:space="preserve">Los problemas de calidad del aire en interiores son reconocidos como factores de riesgo importantes para la salud humana, tanto en los países de bajos, medianos y altos ingresos. El aire interior también es importante porque la gente pasa una gran parte de su tiempo adentro de edificios </w:t>
      </w:r>
      <w:r w:rsidRPr="008B43F6">
        <w:rPr>
          <w:rFonts w:cs="Times New Roman"/>
          <w:lang w:val="en-US"/>
        </w:rPr>
        <w:fldChar w:fldCharType="begin"/>
      </w:r>
      <w:r w:rsidR="00251C87" w:rsidRPr="00251C87">
        <w:rPr>
          <w:rFonts w:cs="Times New Roman"/>
        </w:rPr>
        <w:instrText xml:space="preserve"> ADDIN EN.CITE &lt;EndNote&gt;&lt;Cite&gt;&lt;Author&gt;Alvarez&lt;/Author&gt;&lt;Year&gt;1996&lt;/Year&gt;&lt;RecNum&gt;41&lt;/RecNum&gt;&lt;DisplayText&gt;[45]&lt;/DisplayText&gt;&lt;record&gt;&lt;rec-number&gt;41&lt;/rec-number&gt;&lt;foreign-keys&gt;&lt;key app="EN" db-id="w0w9edzzlxxfdgesvf359ft8wzxverspwaav"&gt;41&lt;/key&gt;&lt;/foreign-keys&gt;&lt;ref-type name="Report"&gt;27&lt;/ref-type&gt;&lt;contributors&gt;&lt;authors&gt;&lt;author&gt;Servando Alvarez&lt;/author&gt;&lt;author&gt;Roger Baldwin&lt;/author&gt;&lt;author&gt;Geo Clausen&lt;/author&gt;&lt;author&gt;Eduardo De Oliveira&lt;/author&gt;&lt;author&gt;Sten Olaf Hansenn&lt;/author&gt;&lt;author&gt;George Helck&lt;/author&gt;&lt;/authors&gt;&lt;secondary-authors&gt;&lt;author&gt;European Collaborative Action&lt;/author&gt;&lt;/secondary-authors&gt;&lt;/contributors&gt;&lt;titles&gt;&lt;title&gt;Indoor Air Quality and the Use of Energy in Buildings&lt;/title&gt;&lt;secondary-title&gt;Indoor Air Quality and its Impact on Man&lt;/secondary-title&gt;&lt;/titles&gt;&lt;num-vols&gt;17&lt;/num-vols&gt;&lt;dates&gt;&lt;year&gt;1996&lt;/year&gt;&lt;/dates&gt;&lt;pub-location&gt;Brussels&lt;/pub-location&gt;&lt;publisher&gt;European Comission, Joint Research Centre, Environment Institute&lt;/publisher&gt;&lt;urls&gt;&lt;related-urls&gt;&lt;url&gt;http://www.inive.org/medias/ECA/ECA_Report17.pdf&lt;/url&gt;&lt;/related-urls&gt;&lt;/urls&gt;&lt;/record&gt;&lt;/Cite&gt;&lt;/EndNote&gt;</w:instrText>
      </w:r>
      <w:r w:rsidRPr="008B43F6">
        <w:rPr>
          <w:rFonts w:cs="Times New Roman"/>
          <w:lang w:val="en-US"/>
        </w:rPr>
        <w:fldChar w:fldCharType="separate"/>
      </w:r>
      <w:r w:rsidR="00251C87" w:rsidRPr="00251C87">
        <w:rPr>
          <w:rFonts w:cs="Times New Roman"/>
          <w:noProof/>
        </w:rPr>
        <w:t>[</w:t>
      </w:r>
      <w:hyperlink w:anchor="_ENREF_45" w:tooltip="Alvarez, 1996 #41" w:history="1">
        <w:r w:rsidR="00251C87" w:rsidRPr="00251C87">
          <w:rPr>
            <w:rFonts w:cs="Times New Roman"/>
            <w:noProof/>
          </w:rPr>
          <w:t>45</w:t>
        </w:r>
      </w:hyperlink>
      <w:r w:rsidR="00251C87" w:rsidRPr="00251C87">
        <w:rPr>
          <w:rFonts w:cs="Times New Roman"/>
          <w:noProof/>
        </w:rPr>
        <w:t>]</w:t>
      </w:r>
      <w:r w:rsidRPr="008B43F6">
        <w:rPr>
          <w:rFonts w:cs="Times New Roman"/>
          <w:lang w:val="en-US"/>
        </w:rPr>
        <w:fldChar w:fldCharType="end"/>
      </w:r>
      <w:r w:rsidRPr="008B43F6">
        <w:rPr>
          <w:rFonts w:cs="MinionPro-Regular"/>
        </w:rPr>
        <w:t>.</w:t>
      </w:r>
    </w:p>
    <w:p w:rsidR="002C0CCF" w:rsidRPr="008B43F6" w:rsidRDefault="002C0CCF" w:rsidP="00C92E54">
      <w:pPr>
        <w:rPr>
          <w:b/>
          <w:color w:val="4F81BD" w:themeColor="accent1"/>
          <w:sz w:val="24"/>
        </w:rPr>
      </w:pPr>
      <w:bookmarkStart w:id="106" w:name="_Toc347629456"/>
      <w:r w:rsidRPr="008B43F6">
        <w:rPr>
          <w:b/>
          <w:color w:val="4F81BD" w:themeColor="accent1"/>
          <w:sz w:val="24"/>
        </w:rPr>
        <w:t>Requerimientos de ventilación</w:t>
      </w:r>
      <w:bookmarkEnd w:id="106"/>
      <w:r w:rsidRPr="008B43F6">
        <w:rPr>
          <w:b/>
          <w:color w:val="4F81BD" w:themeColor="accent1"/>
          <w:sz w:val="24"/>
        </w:rPr>
        <w:t xml:space="preserve"> y eficiencia energética</w:t>
      </w:r>
    </w:p>
    <w:p w:rsidR="002C0CCF" w:rsidRPr="008B43F6" w:rsidRDefault="002C0CCF" w:rsidP="00C92E54">
      <w:pPr>
        <w:rPr>
          <w:spacing w:val="-3"/>
          <w:lang w:val="es-ES_tradnl"/>
        </w:rPr>
      </w:pPr>
      <w:r w:rsidRPr="008B43F6">
        <w:rPr>
          <w:spacing w:val="-3"/>
          <w:lang w:val="es-ES_tradnl"/>
        </w:rPr>
        <w:t xml:space="preserve">El proceso de proveer aire fresco a edificios en la cantidad apropiada para contrarrestar la producción de calor y contaminantes por parte de los ocupantes se conoce como ventilación. En muchas ciudades y municipalidades la cantidad de ventilación está estipulada por la ley en el reglamento de construcción. </w:t>
      </w:r>
    </w:p>
    <w:p w:rsidR="002C0CCF" w:rsidRPr="008B43F6" w:rsidRDefault="002C0CCF" w:rsidP="00C92E54">
      <w:pPr>
        <w:rPr>
          <w:spacing w:val="-3"/>
          <w:lang w:val="es-ES_tradnl"/>
        </w:rPr>
      </w:pPr>
      <w:r w:rsidRPr="008B43F6">
        <w:rPr>
          <w:spacing w:val="-3"/>
          <w:lang w:val="es-ES_tradnl"/>
        </w:rPr>
        <w:t xml:space="preserve">El intercambio de aire entre el interior y el exterior es crucial tanto para la calidad del aire interior como para el uso racional de la energía. El intercambio de aire puede resultar de filtraciones a través de la envolvente, a través de puertas, ventanas y aberturas diseñadas con este propósito, o ser proporcionada por un sistema de ventilación mecánica. La ventilación natural depende de la hermeticidad de la envoltura, el comportamiento del ocupante y de variables físicas como la diferencia de temperatura entre el interior y el exterior, la velocidad del viento, etcétera </w:t>
      </w:r>
      <w:r w:rsidRPr="008B43F6">
        <w:rPr>
          <w:spacing w:val="-3"/>
          <w:lang w:val="es-ES_tradnl"/>
        </w:rPr>
        <w:fldChar w:fldCharType="begin"/>
      </w:r>
      <w:r w:rsidR="00251C87">
        <w:rPr>
          <w:spacing w:val="-3"/>
          <w:lang w:val="es-ES_tradnl"/>
        </w:rPr>
        <w:instrText xml:space="preserve"> ADDIN EN.CITE &lt;EndNote&gt;&lt;Cite&gt;&lt;Author&gt;Alvarez&lt;/Author&gt;&lt;Year&gt;1996&lt;/Year&gt;&lt;RecNum&gt;41&lt;/RecNum&gt;&lt;DisplayText&gt;[45]&lt;/DisplayText&gt;&lt;record&gt;&lt;rec-number&gt;41&lt;/rec-number&gt;&lt;foreign-keys&gt;&lt;key app="EN" db-id="w0w9edzzlxxfdgesvf359ft8wzxverspwaav"&gt;41&lt;/key&gt;&lt;/foreign-keys&gt;&lt;ref-type name="Report"&gt;27&lt;/ref-type&gt;&lt;contributors&gt;&lt;authors&gt;&lt;author&gt;Servando Alvarez&lt;/author&gt;&lt;author&gt;Roger Baldwin&lt;/author&gt;&lt;author&gt;Geo Clausen&lt;/author&gt;&lt;author&gt;Eduardo De Oliveira&lt;/author&gt;&lt;author&gt;Sten Olaf Hansenn&lt;/author&gt;&lt;author&gt;George Helck&lt;/author&gt;&lt;/authors&gt;&lt;secondary-authors&gt;&lt;author&gt;European Collaborative Action&lt;/author&gt;&lt;/secondary-authors&gt;&lt;/contributors&gt;&lt;titles&gt;&lt;title&gt;Indoor Air Quality and the Use of Energy in Buildings&lt;/title&gt;&lt;secondary-title&gt;Indoor Air Quality and its Impact on Man&lt;/secondary-title&gt;&lt;/titles&gt;&lt;num-vols&gt;17&lt;/num-vols&gt;&lt;dates&gt;&lt;year&gt;1996&lt;/year&gt;&lt;/dates&gt;&lt;pub-location&gt;Brussels&lt;/pub-location&gt;&lt;publisher&gt;European Comission, Joint Research Centre, Environment Institute&lt;/publisher&gt;&lt;urls&gt;&lt;related-urls&gt;&lt;url&gt;http://www.inive.org/medias/ECA/ECA_Report17.pdf&lt;/url&gt;&lt;/related-urls&gt;&lt;/urls&gt;&lt;/record&gt;&lt;/Cite&gt;&lt;/EndNote&gt;</w:instrText>
      </w:r>
      <w:r w:rsidRPr="008B43F6">
        <w:rPr>
          <w:spacing w:val="-3"/>
          <w:lang w:val="es-ES_tradnl"/>
        </w:rPr>
        <w:fldChar w:fldCharType="separate"/>
      </w:r>
      <w:r w:rsidR="00251C87">
        <w:rPr>
          <w:noProof/>
          <w:spacing w:val="-3"/>
          <w:lang w:val="es-ES_tradnl"/>
        </w:rPr>
        <w:t>[</w:t>
      </w:r>
      <w:hyperlink w:anchor="_ENREF_45" w:tooltip="Alvarez, 1996 #41" w:history="1">
        <w:r w:rsidR="00251C87">
          <w:rPr>
            <w:noProof/>
            <w:spacing w:val="-3"/>
            <w:lang w:val="es-ES_tradnl"/>
          </w:rPr>
          <w:t>45</w:t>
        </w:r>
      </w:hyperlink>
      <w:r w:rsidR="00251C87">
        <w:rPr>
          <w:noProof/>
          <w:spacing w:val="-3"/>
          <w:lang w:val="es-ES_tradnl"/>
        </w:rPr>
        <w:t>]</w:t>
      </w:r>
      <w:r w:rsidRPr="008B43F6">
        <w:rPr>
          <w:spacing w:val="-3"/>
          <w:lang w:val="es-ES_tradnl"/>
        </w:rPr>
        <w:fldChar w:fldCharType="end"/>
      </w:r>
      <w:r w:rsidRPr="008B43F6">
        <w:rPr>
          <w:spacing w:val="-3"/>
          <w:lang w:val="es-ES_tradnl"/>
        </w:rPr>
        <w:t xml:space="preserve">. </w:t>
      </w:r>
    </w:p>
    <w:p w:rsidR="002C0CCF" w:rsidRPr="008B43F6" w:rsidRDefault="002C0CCF" w:rsidP="00C92E54">
      <w:pPr>
        <w:rPr>
          <w:rFonts w:cs="Calibri"/>
        </w:rPr>
      </w:pPr>
      <w:r w:rsidRPr="008B43F6">
        <w:rPr>
          <w:rFonts w:cs="Calibri"/>
        </w:rPr>
        <w:t xml:space="preserve">Pueden existir cientos de puntos de penetración de aire en el exterior de un edificio convencional. Estos huecos y aberturas son, con frecuencia, originados durante la edificación y las perforaciones para cableados, trabajos de fontanería y conductos. El sellado del edificio, combinado con una ventilación adecuada, puede reducir las facturas de energía y eliminar corrientes y agentes contaminantes no deseados. </w:t>
      </w:r>
      <w:r w:rsidRPr="008B43F6">
        <w:rPr>
          <w:spacing w:val="-3"/>
          <w:lang w:val="es-ES_tradnl"/>
        </w:rPr>
        <w:t xml:space="preserve">Sin embargo, existe la preocupación de que algunas medidas para el ahorro de energía pueden tener un efecto adverso en el ambiente interior </w:t>
      </w:r>
      <w:r w:rsidRPr="008B43F6">
        <w:rPr>
          <w:spacing w:val="-3"/>
          <w:lang w:val="es-ES_tradnl"/>
        </w:rPr>
        <w:fldChar w:fldCharType="begin"/>
      </w:r>
      <w:r w:rsidR="00251C87">
        <w:rPr>
          <w:spacing w:val="-3"/>
          <w:lang w:val="es-ES_tradnl"/>
        </w:rPr>
        <w:instrText xml:space="preserve"> ADDIN EN.CITE &lt;EndNote&gt;&lt;Cite&gt;&lt;Author&gt;Alvarez&lt;/Author&gt;&lt;Year&gt;1996&lt;/Year&gt;&lt;RecNum&gt;41&lt;/RecNum&gt;&lt;DisplayText&gt;[45]&lt;/DisplayText&gt;&lt;record&gt;&lt;rec-number&gt;41&lt;/rec-number&gt;&lt;foreign-keys&gt;&lt;key app="EN" db-id="w0w9edzzlxxfdgesvf359ft8wzxverspwaav"&gt;41&lt;/key&gt;&lt;/foreign-keys&gt;&lt;ref-type name="Report"&gt;27&lt;/ref-type&gt;&lt;contributors&gt;&lt;authors&gt;&lt;author&gt;Servando Alvarez&lt;/author&gt;&lt;author&gt;Roger Baldwin&lt;/author&gt;&lt;author&gt;Geo Clausen&lt;/author&gt;&lt;author&gt;Eduardo De Oliveira&lt;/author&gt;&lt;author&gt;Sten Olaf Hansenn&lt;/author&gt;&lt;author&gt;George Helck&lt;/author&gt;&lt;/authors&gt;&lt;secondary-authors&gt;&lt;author&gt;European Collaborative Action&lt;/author&gt;&lt;/secondary-authors&gt;&lt;/contributors&gt;&lt;titles&gt;&lt;title&gt;Indoor Air Quality and the Use of Energy in Buildings&lt;/title&gt;&lt;secondary-title&gt;Indoor Air Quality and its Impact on Man&lt;/secondary-title&gt;&lt;/titles&gt;&lt;num-vols&gt;17&lt;/num-vols&gt;&lt;dates&gt;&lt;year&gt;1996&lt;/year&gt;&lt;/dates&gt;&lt;pub-location&gt;Brussels&lt;/pub-location&gt;&lt;publisher&gt;European Comission, Joint Research Centre, Environment Institute&lt;/publisher&gt;&lt;urls&gt;&lt;related-urls&gt;&lt;url&gt;http://www.inive.org/medias/ECA/ECA_Report17.pdf&lt;/url&gt;&lt;/related-urls&gt;&lt;/urls&gt;&lt;/record&gt;&lt;/Cite&gt;&lt;/EndNote&gt;</w:instrText>
      </w:r>
      <w:r w:rsidRPr="008B43F6">
        <w:rPr>
          <w:spacing w:val="-3"/>
          <w:lang w:val="es-ES_tradnl"/>
        </w:rPr>
        <w:fldChar w:fldCharType="separate"/>
      </w:r>
      <w:r w:rsidR="00251C87">
        <w:rPr>
          <w:noProof/>
          <w:spacing w:val="-3"/>
          <w:lang w:val="es-ES_tradnl"/>
        </w:rPr>
        <w:t>[</w:t>
      </w:r>
      <w:hyperlink w:anchor="_ENREF_45" w:tooltip="Alvarez, 1996 #41" w:history="1">
        <w:r w:rsidR="00251C87">
          <w:rPr>
            <w:noProof/>
            <w:spacing w:val="-3"/>
            <w:lang w:val="es-ES_tradnl"/>
          </w:rPr>
          <w:t>45</w:t>
        </w:r>
      </w:hyperlink>
      <w:r w:rsidR="00251C87">
        <w:rPr>
          <w:noProof/>
          <w:spacing w:val="-3"/>
          <w:lang w:val="es-ES_tradnl"/>
        </w:rPr>
        <w:t>]</w:t>
      </w:r>
      <w:r w:rsidRPr="008B43F6">
        <w:rPr>
          <w:spacing w:val="-3"/>
          <w:lang w:val="es-ES_tradnl"/>
        </w:rPr>
        <w:fldChar w:fldCharType="end"/>
      </w:r>
      <w:r w:rsidRPr="008B43F6">
        <w:rPr>
          <w:spacing w:val="-3"/>
          <w:lang w:val="es-ES_tradnl"/>
        </w:rPr>
        <w:t>.</w:t>
      </w:r>
    </w:p>
    <w:p w:rsidR="002C0CCF" w:rsidRPr="008B43F6" w:rsidRDefault="002C0CCF" w:rsidP="00C92E54">
      <w:pPr>
        <w:rPr>
          <w:rFonts w:cs="HelveticaNeue-Roman"/>
        </w:rPr>
      </w:pPr>
      <w:r w:rsidRPr="008B43F6">
        <w:rPr>
          <w:rStyle w:val="hps"/>
          <w:rFonts w:cs="Arial"/>
        </w:rPr>
        <w:t>Por otro lado, las medidas de</w:t>
      </w:r>
      <w:r w:rsidRPr="008B43F6">
        <w:rPr>
          <w:rStyle w:val="hps"/>
          <w:rFonts w:cs="Arial"/>
          <w:lang w:val="es-ES"/>
        </w:rPr>
        <w:t xml:space="preserve"> ahorro de energía</w:t>
      </w:r>
      <w:r w:rsidRPr="008B43F6">
        <w:rPr>
          <w:rFonts w:cs="Arial"/>
          <w:lang w:val="es-ES"/>
        </w:rPr>
        <w:t xml:space="preserve"> </w:t>
      </w:r>
      <w:r w:rsidRPr="008B43F6">
        <w:rPr>
          <w:rStyle w:val="hps"/>
          <w:rFonts w:cs="Arial"/>
          <w:lang w:val="es-ES"/>
        </w:rPr>
        <w:t>pueden reducir la ventilación</w:t>
      </w:r>
      <w:r w:rsidRPr="008B43F6">
        <w:rPr>
          <w:rFonts w:cs="Arial"/>
          <w:lang w:val="es-ES"/>
        </w:rPr>
        <w:t xml:space="preserve"> </w:t>
      </w:r>
      <w:r w:rsidRPr="008B43F6">
        <w:rPr>
          <w:rStyle w:val="hps"/>
          <w:rFonts w:cs="Arial"/>
          <w:lang w:val="es-ES"/>
        </w:rPr>
        <w:t>en edificios</w:t>
      </w:r>
      <w:r w:rsidRPr="008B43F6">
        <w:rPr>
          <w:rFonts w:cs="Arial"/>
          <w:lang w:val="es-ES"/>
        </w:rPr>
        <w:t xml:space="preserve"> </w:t>
      </w:r>
      <w:r w:rsidRPr="008B43F6">
        <w:rPr>
          <w:rStyle w:val="hps"/>
          <w:rFonts w:cs="Arial"/>
          <w:lang w:val="es-ES"/>
        </w:rPr>
        <w:t>al hacerlos más herméticos</w:t>
      </w:r>
      <w:r w:rsidRPr="008B43F6">
        <w:rPr>
          <w:rFonts w:cs="Arial"/>
          <w:lang w:val="es-ES"/>
        </w:rPr>
        <w:t xml:space="preserve"> </w:t>
      </w:r>
      <w:r w:rsidRPr="008B43F6">
        <w:rPr>
          <w:rStyle w:val="hps"/>
          <w:rFonts w:cs="Arial"/>
          <w:lang w:val="es-ES"/>
        </w:rPr>
        <w:t>y reduciendo la presurización</w:t>
      </w:r>
      <w:r w:rsidRPr="008B43F6">
        <w:rPr>
          <w:rFonts w:cs="Arial"/>
          <w:lang w:val="es-ES"/>
        </w:rPr>
        <w:t xml:space="preserve"> </w:t>
      </w:r>
      <w:r w:rsidRPr="008B43F6">
        <w:rPr>
          <w:rStyle w:val="hps"/>
          <w:rFonts w:cs="Arial"/>
          <w:lang w:val="es-ES"/>
        </w:rPr>
        <w:t>de</w:t>
      </w:r>
      <w:r w:rsidRPr="008B43F6">
        <w:rPr>
          <w:rFonts w:cs="Arial"/>
          <w:lang w:val="es-ES"/>
        </w:rPr>
        <w:t xml:space="preserve"> </w:t>
      </w:r>
      <w:r w:rsidRPr="008B43F6">
        <w:rPr>
          <w:rStyle w:val="hps"/>
          <w:rFonts w:cs="Arial"/>
          <w:lang w:val="es-ES"/>
        </w:rPr>
        <w:t>espacios no acondicionados (</w:t>
      </w:r>
      <w:r w:rsidRPr="008B43F6">
        <w:rPr>
          <w:rFonts w:cs="Arial"/>
          <w:lang w:val="es-ES"/>
        </w:rPr>
        <w:t xml:space="preserve">por ejemplo el </w:t>
      </w:r>
      <w:r w:rsidRPr="008B43F6">
        <w:rPr>
          <w:rStyle w:val="hps"/>
          <w:rFonts w:cs="Arial"/>
          <w:lang w:val="es-ES"/>
        </w:rPr>
        <w:t>sellado</w:t>
      </w:r>
      <w:r w:rsidRPr="008B43F6">
        <w:rPr>
          <w:rFonts w:cs="Arial"/>
          <w:lang w:val="es-ES"/>
        </w:rPr>
        <w:t xml:space="preserve"> </w:t>
      </w:r>
      <w:r w:rsidRPr="008B43F6">
        <w:rPr>
          <w:rStyle w:val="hps"/>
          <w:rFonts w:cs="Arial"/>
          <w:lang w:val="es-ES"/>
        </w:rPr>
        <w:t>de ductos)</w:t>
      </w:r>
      <w:r w:rsidRPr="008B43F6">
        <w:rPr>
          <w:rFonts w:cs="Arial"/>
          <w:lang w:val="es-ES"/>
        </w:rPr>
        <w:t xml:space="preserve">. </w:t>
      </w:r>
      <w:r w:rsidRPr="008B43F6">
        <w:rPr>
          <w:rStyle w:val="hps"/>
          <w:rFonts w:cs="Arial"/>
          <w:lang w:val="es-ES"/>
        </w:rPr>
        <w:t>La humedad</w:t>
      </w:r>
      <w:r w:rsidRPr="008B43F6">
        <w:rPr>
          <w:rFonts w:cs="Arial"/>
          <w:lang w:val="es-ES"/>
        </w:rPr>
        <w:t xml:space="preserve"> </w:t>
      </w:r>
      <w:r w:rsidRPr="008B43F6">
        <w:rPr>
          <w:rStyle w:val="hps"/>
          <w:rFonts w:cs="Arial"/>
          <w:lang w:val="es-ES"/>
        </w:rPr>
        <w:t>interior</w:t>
      </w:r>
      <w:r w:rsidRPr="008B43F6">
        <w:rPr>
          <w:rFonts w:cs="Arial"/>
          <w:lang w:val="es-ES"/>
        </w:rPr>
        <w:t xml:space="preserve">, corrientes de aire </w:t>
      </w:r>
      <w:r w:rsidRPr="008B43F6">
        <w:rPr>
          <w:rStyle w:val="hps"/>
          <w:rFonts w:cs="Arial"/>
          <w:lang w:val="es-ES"/>
        </w:rPr>
        <w:t>disminuidas</w:t>
      </w:r>
      <w:r w:rsidRPr="008B43F6">
        <w:rPr>
          <w:rFonts w:cs="Arial"/>
          <w:lang w:val="es-ES"/>
        </w:rPr>
        <w:t xml:space="preserve"> y menos cambios </w:t>
      </w:r>
      <w:r w:rsidRPr="008B43F6">
        <w:rPr>
          <w:rStyle w:val="hps"/>
          <w:rFonts w:cs="Arial"/>
          <w:lang w:val="es-ES"/>
        </w:rPr>
        <w:t>de aire</w:t>
      </w:r>
      <w:r w:rsidRPr="008B43F6">
        <w:rPr>
          <w:rFonts w:cs="Arial"/>
          <w:lang w:val="es-ES"/>
        </w:rPr>
        <w:t xml:space="preserve"> </w:t>
      </w:r>
      <w:r w:rsidRPr="008B43F6">
        <w:rPr>
          <w:rStyle w:val="hps"/>
          <w:rFonts w:cs="Arial"/>
          <w:lang w:val="es-ES"/>
        </w:rPr>
        <w:t>implican un potencial de riesgo para</w:t>
      </w:r>
      <w:r w:rsidRPr="008B43F6">
        <w:rPr>
          <w:rFonts w:cs="Arial"/>
          <w:lang w:val="es-ES"/>
        </w:rPr>
        <w:t xml:space="preserve"> </w:t>
      </w:r>
      <w:r w:rsidRPr="008B43F6">
        <w:rPr>
          <w:rStyle w:val="hps"/>
          <w:rFonts w:cs="Arial"/>
          <w:lang w:val="es-ES"/>
        </w:rPr>
        <w:t>los ocupantes</w:t>
      </w:r>
      <w:r w:rsidRPr="008B43F6">
        <w:rPr>
          <w:rFonts w:cs="Arial"/>
          <w:lang w:val="es-ES"/>
        </w:rPr>
        <w:t xml:space="preserve"> por el </w:t>
      </w:r>
      <w:r w:rsidRPr="008B43F6">
        <w:rPr>
          <w:rStyle w:val="hps"/>
          <w:rFonts w:cs="Arial"/>
          <w:lang w:val="es-ES"/>
        </w:rPr>
        <w:t>aumento</w:t>
      </w:r>
      <w:r w:rsidRPr="008B43F6">
        <w:rPr>
          <w:rFonts w:cs="Arial"/>
          <w:lang w:val="es-ES"/>
        </w:rPr>
        <w:t xml:space="preserve"> </w:t>
      </w:r>
      <w:r w:rsidRPr="008B43F6">
        <w:rPr>
          <w:rStyle w:val="hps"/>
          <w:rFonts w:cs="Arial"/>
          <w:lang w:val="es-ES"/>
        </w:rPr>
        <w:t>de</w:t>
      </w:r>
      <w:r w:rsidRPr="008B43F6">
        <w:rPr>
          <w:rFonts w:cs="Arial"/>
          <w:lang w:val="es-ES"/>
        </w:rPr>
        <w:t xml:space="preserve"> </w:t>
      </w:r>
      <w:r w:rsidRPr="008B43F6">
        <w:rPr>
          <w:rStyle w:val="hps"/>
          <w:rFonts w:cs="Arial"/>
          <w:lang w:val="es-ES"/>
        </w:rPr>
        <w:t>la exposición a</w:t>
      </w:r>
      <w:r w:rsidRPr="008B43F6">
        <w:rPr>
          <w:rFonts w:cs="Arial"/>
          <w:lang w:val="es-ES"/>
        </w:rPr>
        <w:t xml:space="preserve"> </w:t>
      </w:r>
      <w:r w:rsidRPr="008B43F6">
        <w:rPr>
          <w:rStyle w:val="hps"/>
          <w:rFonts w:cs="Arial"/>
          <w:lang w:val="es-ES"/>
        </w:rPr>
        <w:t>los contaminantes generados</w:t>
      </w:r>
      <w:r w:rsidRPr="008B43F6">
        <w:rPr>
          <w:rFonts w:cs="Arial"/>
          <w:lang w:val="es-ES"/>
        </w:rPr>
        <w:t xml:space="preserve"> </w:t>
      </w:r>
      <w:r w:rsidRPr="008B43F6">
        <w:rPr>
          <w:rStyle w:val="hps"/>
          <w:rFonts w:cs="Arial"/>
          <w:lang w:val="es-ES"/>
        </w:rPr>
        <w:t xml:space="preserve">en interiores </w:t>
      </w:r>
      <w:r w:rsidRPr="008B43F6">
        <w:rPr>
          <w:rStyle w:val="hps"/>
          <w:rFonts w:cs="Arial"/>
          <w:lang w:val="es-ES"/>
        </w:rPr>
        <w:fldChar w:fldCharType="begin"/>
      </w:r>
      <w:r w:rsidR="00251C87">
        <w:rPr>
          <w:rStyle w:val="hps"/>
          <w:rFonts w:cs="Arial"/>
          <w:lang w:val="es-ES"/>
        </w:rPr>
        <w:instrText xml:space="preserve"> ADDIN EN.CITE &lt;EndNote&gt;&lt;Cite&gt;&lt;Author&gt;Mudarri D.&lt;/Author&gt;&lt;Year&gt;2010&lt;/Year&gt;&lt;RecNum&gt;55&lt;/RecNum&gt;&lt;DisplayText&gt;[46]&lt;/DisplayText&gt;&lt;record&gt;&lt;rec-number&gt;55&lt;/rec-number&gt;&lt;foreign-keys&gt;&lt;key app="EN" db-id="t0v9wvp5gtw2r4efsfnxdz01xvzddafaaa0w"&gt;55&lt;/key&gt;&lt;/foreign-keys&gt;&lt;ref-type name="Report"&gt;27&lt;/ref-type&gt;&lt;contributors&gt;&lt;authors&gt;&lt;author&gt;Mudarri D.,&lt;/author&gt;&lt;/authors&gt;&lt;tertiary-authors&gt;&lt;author&gt;Environmental Protection Agency&lt;/author&gt;&lt;/tertiary-authors&gt;&lt;/contributors&gt;&lt;titles&gt;&lt;title&gt;Building Codes and Indoor Air Quality&lt;/title&gt;&lt;/titles&gt;&lt;pages&gt;35&lt;/pages&gt;&lt;dates&gt;&lt;year&gt;2010&lt;/year&gt;&lt;/dates&gt;&lt;publisher&gt;The Cadmus Group&lt;/publisher&gt;&lt;urls&gt;&lt;related-urls&gt;&lt;url&gt;http://www.epa.gov/iaq/pdfs/building_codes_and_iaq.pdf&lt;/url&gt;&lt;/related-urls&gt;&lt;/urls&gt;&lt;/record&gt;&lt;/Cite&gt;&lt;/EndNote&gt;</w:instrText>
      </w:r>
      <w:r w:rsidRPr="008B43F6">
        <w:rPr>
          <w:rStyle w:val="hps"/>
          <w:rFonts w:cs="Arial"/>
          <w:lang w:val="es-ES"/>
        </w:rPr>
        <w:fldChar w:fldCharType="separate"/>
      </w:r>
      <w:r w:rsidR="00251C87">
        <w:rPr>
          <w:rStyle w:val="hps"/>
          <w:rFonts w:cs="Arial"/>
          <w:noProof/>
          <w:lang w:val="es-ES"/>
        </w:rPr>
        <w:t>[</w:t>
      </w:r>
      <w:hyperlink w:anchor="_ENREF_46" w:tooltip="Mudarri D., 2010 #55" w:history="1">
        <w:r w:rsidR="00251C87">
          <w:rPr>
            <w:rStyle w:val="hps"/>
            <w:rFonts w:cs="Arial"/>
            <w:noProof/>
            <w:lang w:val="es-ES"/>
          </w:rPr>
          <w:t>46</w:t>
        </w:r>
      </w:hyperlink>
      <w:r w:rsidR="00251C87">
        <w:rPr>
          <w:rStyle w:val="hps"/>
          <w:rFonts w:cs="Arial"/>
          <w:noProof/>
          <w:lang w:val="es-ES"/>
        </w:rPr>
        <w:t>]</w:t>
      </w:r>
      <w:r w:rsidRPr="008B43F6">
        <w:rPr>
          <w:rStyle w:val="hps"/>
          <w:rFonts w:cs="Arial"/>
          <w:lang w:val="es-ES"/>
        </w:rPr>
        <w:fldChar w:fldCharType="end"/>
      </w:r>
      <w:r w:rsidRPr="008B43F6">
        <w:rPr>
          <w:rFonts w:cs="HelveticaNeue-Roman"/>
        </w:rPr>
        <w:t>.</w:t>
      </w:r>
    </w:p>
    <w:p w:rsidR="002C0CCF" w:rsidRPr="008B43F6" w:rsidRDefault="002C0CCF" w:rsidP="00C92E54">
      <w:pPr>
        <w:rPr>
          <w:rFonts w:eastAsia="Times New Roman" w:cs="Arial"/>
          <w:lang w:val="es-ES"/>
        </w:rPr>
      </w:pPr>
      <w:r w:rsidRPr="008B43F6">
        <w:rPr>
          <w:rFonts w:eastAsia="Times New Roman" w:cs="Arial"/>
          <w:lang w:val="es-ES"/>
        </w:rPr>
        <w:t>Una ventilación inadecuada se debe generalmente a:</w:t>
      </w:r>
    </w:p>
    <w:p w:rsidR="002C0CCF" w:rsidRPr="008B43F6" w:rsidRDefault="002C0CCF" w:rsidP="00C92E54">
      <w:pPr>
        <w:pStyle w:val="Prrafodelista"/>
        <w:numPr>
          <w:ilvl w:val="0"/>
          <w:numId w:val="20"/>
        </w:numPr>
        <w:rPr>
          <w:rFonts w:eastAsia="Times New Roman" w:cs="Arial"/>
          <w:lang w:val="es-ES"/>
        </w:rPr>
      </w:pPr>
      <w:r w:rsidRPr="008B43F6">
        <w:rPr>
          <w:rFonts w:eastAsia="Times New Roman" w:cs="Arial"/>
          <w:lang w:val="es-ES"/>
        </w:rPr>
        <w:t>Un insuficiente suministro de aire fresco, como consecuencia de una elevada recirculación del aire o de un bajo caudal de impulsión.</w:t>
      </w:r>
    </w:p>
    <w:p w:rsidR="002C0CCF" w:rsidRPr="008B43F6" w:rsidRDefault="002C0CCF" w:rsidP="00C92E54">
      <w:pPr>
        <w:pStyle w:val="Prrafodelista"/>
        <w:numPr>
          <w:ilvl w:val="0"/>
          <w:numId w:val="20"/>
        </w:numPr>
        <w:rPr>
          <w:rFonts w:eastAsia="Times New Roman" w:cs="Arial"/>
          <w:lang w:val="es-ES"/>
        </w:rPr>
      </w:pPr>
      <w:r w:rsidRPr="008B43F6">
        <w:rPr>
          <w:rFonts w:eastAsia="Times New Roman" w:cs="Arial"/>
          <w:lang w:val="es-ES"/>
        </w:rPr>
        <w:lastRenderedPageBreak/>
        <w:t>Una mala distribución y consecuentemente una mezcla incompleta con el aire exterior, que provoca estratificaciones del aire y diferencias de presión entre los distintos espacios y zonas del edificio.</w:t>
      </w:r>
    </w:p>
    <w:p w:rsidR="002C0CCF" w:rsidRPr="008B43F6" w:rsidRDefault="002C0CCF" w:rsidP="00C92E54">
      <w:pPr>
        <w:pStyle w:val="Prrafodelista"/>
        <w:numPr>
          <w:ilvl w:val="0"/>
          <w:numId w:val="20"/>
        </w:numPr>
        <w:rPr>
          <w:rFonts w:eastAsia="Times New Roman" w:cs="Arial"/>
          <w:lang w:val="es-ES"/>
        </w:rPr>
      </w:pPr>
      <w:r w:rsidRPr="008B43F6">
        <w:rPr>
          <w:rFonts w:eastAsia="Times New Roman" w:cs="Arial"/>
          <w:lang w:val="es-ES"/>
        </w:rPr>
        <w:t>Una incorrecta filtración del aire debido a un mantenimiento incorrecto o a un diseño inadecuado del sistema de filtración.</w:t>
      </w:r>
    </w:p>
    <w:p w:rsidR="002C0CCF" w:rsidRPr="008B43F6" w:rsidRDefault="002C0CCF" w:rsidP="00C92E54">
      <w:pPr>
        <w:pStyle w:val="Prrafodelista"/>
        <w:numPr>
          <w:ilvl w:val="0"/>
          <w:numId w:val="20"/>
        </w:numPr>
        <w:rPr>
          <w:rFonts w:eastAsia="Times New Roman" w:cs="Arial"/>
          <w:lang w:val="es-ES"/>
        </w:rPr>
      </w:pPr>
      <w:r w:rsidRPr="008B43F6">
        <w:rPr>
          <w:rFonts w:eastAsia="Times New Roman" w:cs="Arial"/>
          <w:lang w:val="es-ES"/>
        </w:rPr>
        <w:t>Una temperatura de aire y humedad relativa extremas o fluctuantes.</w:t>
      </w:r>
    </w:p>
    <w:p w:rsidR="002C0CCF" w:rsidRPr="008B43F6" w:rsidRDefault="002C0CCF" w:rsidP="00C92E54">
      <w:pPr>
        <w:pStyle w:val="Prrafodelista"/>
        <w:numPr>
          <w:ilvl w:val="0"/>
          <w:numId w:val="20"/>
        </w:numPr>
        <w:rPr>
          <w:rFonts w:eastAsia="Times New Roman" w:cs="Arial"/>
          <w:lang w:val="es-ES"/>
        </w:rPr>
      </w:pPr>
      <w:r w:rsidRPr="008B43F6">
        <w:rPr>
          <w:rFonts w:eastAsia="Times New Roman" w:cs="Arial"/>
          <w:lang w:val="es-ES"/>
        </w:rPr>
        <w:t>Una falta de hábito de los habitantes de ventilar a través de puertas y ventanas.</w:t>
      </w:r>
    </w:p>
    <w:p w:rsidR="002C0CCF" w:rsidRPr="008B43F6" w:rsidRDefault="002C0CCF" w:rsidP="00C92E54">
      <w:pPr>
        <w:rPr>
          <w:rStyle w:val="hps"/>
          <w:rFonts w:eastAsia="Times New Roman" w:cs="Arial"/>
          <w:color w:val="4F81BD" w:themeColor="accent1"/>
          <w:lang w:val="es-ES"/>
        </w:rPr>
      </w:pPr>
    </w:p>
    <w:p w:rsidR="002C0CCF" w:rsidRPr="008B43F6" w:rsidRDefault="002C0CCF" w:rsidP="00C92E54">
      <w:pPr>
        <w:rPr>
          <w:b/>
          <w:color w:val="4F81BD" w:themeColor="accent1"/>
          <w:sz w:val="24"/>
        </w:rPr>
      </w:pPr>
      <w:bookmarkStart w:id="107" w:name="_Toc345953838"/>
      <w:r w:rsidRPr="008B43F6">
        <w:rPr>
          <w:b/>
          <w:color w:val="4F81BD" w:themeColor="accent1"/>
          <w:sz w:val="24"/>
        </w:rPr>
        <w:t>Salud y confort aspectos de la contaminación del aire interior y el ambiente térmico</w:t>
      </w:r>
    </w:p>
    <w:p w:rsidR="002C0CCF" w:rsidRPr="008B43F6" w:rsidRDefault="002C0CCF" w:rsidP="00C92E54">
      <w:pPr>
        <w:rPr>
          <w:rFonts w:cs="Arial"/>
        </w:rPr>
      </w:pPr>
      <w:r w:rsidRPr="008B43F6">
        <w:rPr>
          <w:rFonts w:cs="Arial"/>
        </w:rPr>
        <w:t xml:space="preserve">El ambiente en interiores tiene que cumplir con dos requisitos para satisfacer a sus ocupantes. En primer lugar, debe representar un riesgo insignificante para la salud. En segundo, debe ser cómodo y agradable. El grado de variación en los requerimientos humanos puede ser bastante grande. Esto se debe a que las personas tienen diferentes sensibilidades con relación al ambiente interior y pasan distintas partes de su tiempo en él [1]. El requisito básico de una vivienda térmicamente confortable y saludable es proteger a los residentes contra la condensación de la humedad, los extremos de calor y frío y la resequedad excesiva. Los especialistas en salud han expresado una preocupación especial por la posible relación entre la reducción de la temperatura del aire, la reducción en la ventilación y el aumento de la humedad al interior de las viviendas, y la incidencia de enfermedades respiratorias </w:t>
      </w:r>
      <w:r w:rsidRPr="008B43F6">
        <w:rPr>
          <w:rFonts w:cs="Arial"/>
          <w:spacing w:val="-3"/>
          <w:lang w:val="en-US"/>
        </w:rPr>
        <w:fldChar w:fldCharType="begin"/>
      </w:r>
      <w:r w:rsidR="00251C87" w:rsidRPr="00251C87">
        <w:rPr>
          <w:rFonts w:cs="Arial"/>
          <w:spacing w:val="-3"/>
        </w:rPr>
        <w:instrText xml:space="preserve"> ADDIN EN.CITE &lt;EndNote&gt;&lt;Cite&gt;&lt;Year&gt;1985&lt;/Year&gt;&lt;RecNum&gt;42&lt;/RecNum&gt;&lt;DisplayText&gt;[47]&lt;/DisplayText&gt;&lt;record&gt;&lt;rec-number&gt;42&lt;/rec-number&gt;&lt;foreign-keys&gt;&lt;key app="EN" db-id="w0w9edzzlxxfdgesvf359ft8wzxverspwaav"&gt;42&lt;/key&gt;&lt;/foreign-keys&gt;&lt;ref-type name="Report"&gt;27&lt;/ref-type&gt;&lt;contributors&gt;&lt;/contributors&gt;&lt;titles&gt;&lt;title&gt;Health Impacts of Low Indoor Temperatures&lt;/title&gt;&lt;/titles&gt;&lt;dates&gt;&lt;year&gt;1985&lt;/year&gt;&lt;/dates&gt;&lt;pub-location&gt;Geneva, Switzerland&lt;/pub-location&gt;&lt;publisher&gt;World Health Organization&lt;/publisher&gt;&lt;urls&gt;&lt;related-urls&gt;&lt;url&gt;http://www.theclaymoreproject.com/uploads/associate/365/file/Health%20Documents/WHO%20-%20health%20impact%20of%20low%20indoor%20temperatures%20(WHO,%201985).pdf&lt;/url&gt;&lt;/related-urls&gt;&lt;/urls&gt;&lt;/record&gt;&lt;/Cite&gt;&lt;/EndNote&gt;</w:instrText>
      </w:r>
      <w:r w:rsidRPr="008B43F6">
        <w:rPr>
          <w:rFonts w:cs="Arial"/>
          <w:spacing w:val="-3"/>
          <w:lang w:val="en-US"/>
        </w:rPr>
        <w:fldChar w:fldCharType="separate"/>
      </w:r>
      <w:r w:rsidR="00251C87" w:rsidRPr="00251C87">
        <w:rPr>
          <w:rFonts w:cs="Arial"/>
          <w:noProof/>
          <w:spacing w:val="-3"/>
        </w:rPr>
        <w:t>[</w:t>
      </w:r>
      <w:hyperlink w:anchor="_ENREF_47" w:tooltip=", 1985 #42" w:history="1">
        <w:r w:rsidR="00251C87" w:rsidRPr="00251C87">
          <w:rPr>
            <w:rFonts w:cs="Arial"/>
            <w:noProof/>
            <w:spacing w:val="-3"/>
          </w:rPr>
          <w:t>47</w:t>
        </w:r>
      </w:hyperlink>
      <w:r w:rsidR="00251C87" w:rsidRPr="00251C87">
        <w:rPr>
          <w:rFonts w:cs="Arial"/>
          <w:noProof/>
          <w:spacing w:val="-3"/>
        </w:rPr>
        <w:t>]</w:t>
      </w:r>
      <w:r w:rsidRPr="008B43F6">
        <w:rPr>
          <w:rFonts w:cs="Arial"/>
          <w:spacing w:val="-3"/>
          <w:lang w:val="en-US"/>
        </w:rPr>
        <w:fldChar w:fldCharType="end"/>
      </w:r>
      <w:r w:rsidRPr="008B43F6">
        <w:rPr>
          <w:rFonts w:cs="Arial"/>
          <w:spacing w:val="-3"/>
        </w:rPr>
        <w:t>.</w:t>
      </w:r>
    </w:p>
    <w:p w:rsidR="002C0CCF" w:rsidRPr="008B43F6" w:rsidRDefault="002C0CCF" w:rsidP="00C92E54">
      <w:pPr>
        <w:rPr>
          <w:rFonts w:cs="Arial"/>
        </w:rPr>
      </w:pPr>
      <w:r w:rsidRPr="008B43F6">
        <w:rPr>
          <w:rFonts w:cs="Arial"/>
        </w:rPr>
        <w:t xml:space="preserve">Los cambios en el Estado de salud de una persona debidos a la mala calidad del aire interior pueden manifestarse en diversos síntomas agudos y crónicos así como en una variedad de enfermedades específicas. Aunque los casos en los que la mala calidad del aire interior da lugar al desarrollo completo de una enfermedad son pocos, éste puede causar malestar, estrés, ausentismo laboral y pérdida de productividad (con aumentos paralelos en los costos de producción) </w:t>
      </w:r>
      <w:r w:rsidRPr="008B43F6">
        <w:rPr>
          <w:rFonts w:cs="Arial"/>
        </w:rPr>
        <w:fldChar w:fldCharType="begin"/>
      </w:r>
      <w:r w:rsidR="00251C87">
        <w:rPr>
          <w:rFonts w:cs="Arial"/>
        </w:rPr>
        <w:instrText xml:space="preserve"> ADDIN EN.CITE &lt;EndNote&gt;&lt;Cite&gt;&lt;Author&gt;Solá&lt;/Author&gt;&lt;RecNum&gt;43&lt;/RecNum&gt;&lt;DisplayText&gt;[48]&lt;/DisplayText&gt;&lt;record&gt;&lt;rec-number&gt;43&lt;/rec-number&gt;&lt;foreign-keys&gt;&lt;key app="EN" db-id="w0w9edzzlxxfdgesvf359ft8wzxverspwaav"&gt;43&lt;/key&gt;&lt;/foreign-keys&gt;&lt;ref-type name="Encyclopedia"&gt;53&lt;/ref-type&gt;&lt;contributors&gt;&lt;authors&gt;&lt;author&gt;Xavier Guardino Solá&lt;/author&gt;&lt;/authors&gt;&lt;/contributors&gt;&lt;titles&gt;&lt;title&gt;Calidad del Aire Interior&lt;/title&gt;&lt;secondary-title&gt;Enciclopedia de Seguridad y Salud en el Trabajo&lt;/secondary-title&gt;&lt;/titles&gt;&lt;dates&gt;&lt;/dates&gt;&lt;urls&gt;&lt;related-urls&gt;&lt;url&gt;http://www.insht.es/InshtWeb/Contenidos/Documentacion/TextosOnline/EnciclopediaOIT/tomo2/44.pdf&lt;/url&gt;&lt;/related-urls&gt;&lt;/urls&gt;&lt;/record&gt;&lt;/Cite&gt;&lt;/EndNote&gt;</w:instrText>
      </w:r>
      <w:r w:rsidRPr="008B43F6">
        <w:rPr>
          <w:rFonts w:cs="Arial"/>
        </w:rPr>
        <w:fldChar w:fldCharType="separate"/>
      </w:r>
      <w:r w:rsidR="00251C87">
        <w:rPr>
          <w:rFonts w:cs="Arial"/>
          <w:noProof/>
        </w:rPr>
        <w:t>[</w:t>
      </w:r>
      <w:hyperlink w:anchor="_ENREF_48" w:tooltip="Solá,  #43" w:history="1">
        <w:r w:rsidR="00251C87">
          <w:rPr>
            <w:rFonts w:cs="Arial"/>
            <w:noProof/>
          </w:rPr>
          <w:t>48</w:t>
        </w:r>
      </w:hyperlink>
      <w:r w:rsidR="00251C87">
        <w:rPr>
          <w:rFonts w:cs="Arial"/>
          <w:noProof/>
        </w:rPr>
        <w:t>]</w:t>
      </w:r>
      <w:r w:rsidRPr="008B43F6">
        <w:rPr>
          <w:rFonts w:cs="Arial"/>
        </w:rPr>
        <w:fldChar w:fldCharType="end"/>
      </w:r>
      <w:r w:rsidRPr="008B43F6">
        <w:rPr>
          <w:rFonts w:cs="Arial"/>
        </w:rPr>
        <w:t xml:space="preserve">. </w:t>
      </w:r>
    </w:p>
    <w:p w:rsidR="002C0CCF" w:rsidRPr="008B43F6" w:rsidRDefault="002C0CCF" w:rsidP="00C92E54">
      <w:pPr>
        <w:rPr>
          <w:rFonts w:cs="MinionPro-Regular"/>
        </w:rPr>
      </w:pPr>
      <w:r w:rsidRPr="008B43F6">
        <w:rPr>
          <w:spacing w:val="-3"/>
          <w:lang w:val="es-ES_tradnl"/>
        </w:rPr>
        <w:t>Hay varios factores y condiciones que determinan si el clima interior lleva a la salud y al confort. Los más importantes son:</w:t>
      </w:r>
    </w:p>
    <w:p w:rsidR="002C0CCF" w:rsidRPr="008B43F6" w:rsidRDefault="002C0CCF" w:rsidP="00C92E54">
      <w:pPr>
        <w:pStyle w:val="Prrafodelista"/>
        <w:numPr>
          <w:ilvl w:val="0"/>
          <w:numId w:val="21"/>
        </w:numPr>
        <w:rPr>
          <w:spacing w:val="-3"/>
          <w:lang w:val="es-ES_tradnl"/>
        </w:rPr>
      </w:pPr>
      <w:r w:rsidRPr="008B43F6">
        <w:rPr>
          <w:spacing w:val="-3"/>
          <w:lang w:val="es-ES_tradnl"/>
        </w:rPr>
        <w:t>la temperatura del aire</w:t>
      </w:r>
    </w:p>
    <w:p w:rsidR="002C0CCF" w:rsidRPr="008B43F6" w:rsidRDefault="002C0CCF" w:rsidP="00C92E54">
      <w:pPr>
        <w:pStyle w:val="Prrafodelista"/>
        <w:numPr>
          <w:ilvl w:val="0"/>
          <w:numId w:val="21"/>
        </w:numPr>
        <w:rPr>
          <w:spacing w:val="-3"/>
          <w:lang w:val="es-ES_tradnl"/>
        </w:rPr>
      </w:pPr>
      <w:r w:rsidRPr="008B43F6">
        <w:rPr>
          <w:spacing w:val="-3"/>
          <w:lang w:val="es-ES_tradnl"/>
        </w:rPr>
        <w:t xml:space="preserve">la humedad relativa </w:t>
      </w:r>
    </w:p>
    <w:p w:rsidR="002C0CCF" w:rsidRPr="008B43F6" w:rsidRDefault="002C0CCF" w:rsidP="00C92E54">
      <w:pPr>
        <w:pStyle w:val="Prrafodelista"/>
        <w:numPr>
          <w:ilvl w:val="0"/>
          <w:numId w:val="21"/>
        </w:numPr>
        <w:rPr>
          <w:spacing w:val="-3"/>
          <w:lang w:val="es-ES_tradnl"/>
        </w:rPr>
      </w:pPr>
      <w:r w:rsidRPr="008B43F6">
        <w:rPr>
          <w:spacing w:val="-3"/>
          <w:lang w:val="es-ES_tradnl"/>
        </w:rPr>
        <w:t>La ionización del aire</w:t>
      </w:r>
    </w:p>
    <w:p w:rsidR="002C0CCF" w:rsidRPr="008B43F6" w:rsidRDefault="002C0CCF" w:rsidP="00C92E54">
      <w:pPr>
        <w:pStyle w:val="Prrafodelista"/>
        <w:numPr>
          <w:ilvl w:val="0"/>
          <w:numId w:val="21"/>
        </w:numPr>
        <w:rPr>
          <w:spacing w:val="-3"/>
          <w:lang w:val="es-ES_tradnl"/>
        </w:rPr>
      </w:pPr>
      <w:r w:rsidRPr="008B43F6">
        <w:rPr>
          <w:spacing w:val="-3"/>
          <w:lang w:val="es-ES_tradnl"/>
        </w:rPr>
        <w:t>la contaminación interior</w:t>
      </w:r>
      <w:bookmarkStart w:id="108" w:name="_Toc347629458"/>
    </w:p>
    <w:p w:rsidR="002C0CCF" w:rsidRPr="008B43F6" w:rsidRDefault="002C0CCF" w:rsidP="00C92E54">
      <w:pPr>
        <w:rPr>
          <w:b/>
          <w:color w:val="4F81BD" w:themeColor="accent1"/>
        </w:rPr>
      </w:pPr>
      <w:r w:rsidRPr="008B43F6">
        <w:rPr>
          <w:b/>
          <w:color w:val="4F81BD" w:themeColor="accent1"/>
          <w:lang w:val="en-US"/>
        </w:rPr>
        <w:t xml:space="preserve">La </w:t>
      </w:r>
      <w:r w:rsidRPr="008B43F6">
        <w:rPr>
          <w:b/>
          <w:color w:val="4F81BD" w:themeColor="accent1"/>
        </w:rPr>
        <w:t>temperatura</w:t>
      </w:r>
      <w:bookmarkEnd w:id="108"/>
    </w:p>
    <w:p w:rsidR="002C0CCF" w:rsidRPr="008B43F6" w:rsidRDefault="002C0CCF" w:rsidP="00C92E54">
      <w:pPr>
        <w:rPr>
          <w:shd w:val="clear" w:color="auto" w:fill="FFFFFF"/>
        </w:rPr>
      </w:pPr>
      <w:r w:rsidRPr="008B43F6">
        <w:rPr>
          <w:shd w:val="clear" w:color="auto" w:fill="FFFFFF"/>
        </w:rPr>
        <w:t xml:space="preserve">Aunque las personas tienen requerimientos variables con relación a la temperatura, las condiciones térmicas al interior de las viviendas son importantes para la salud y el confort. La Organización Mundial de la Salud recomienda una temperatura interna mínima de 18 °C y una </w:t>
      </w:r>
      <w:r w:rsidRPr="008B43F6">
        <w:rPr>
          <w:shd w:val="clear" w:color="auto" w:fill="FFFFFF"/>
        </w:rPr>
        <w:lastRenderedPageBreak/>
        <w:t>máxima de entre 20-21 °C para la salud de los grupos más vulnerables, tales como las personas mayores y los niños pequeños.</w:t>
      </w:r>
      <w:bookmarkStart w:id="109" w:name="_Toc347629459"/>
    </w:p>
    <w:p w:rsidR="002C0CCF" w:rsidRPr="008B43F6" w:rsidRDefault="002C0CCF" w:rsidP="00C92E54">
      <w:pPr>
        <w:rPr>
          <w:shd w:val="clear" w:color="auto" w:fill="FFFFFF"/>
        </w:rPr>
      </w:pPr>
      <w:r w:rsidRPr="008B43F6">
        <w:rPr>
          <w:shd w:val="clear" w:color="auto" w:fill="FFFFFF"/>
        </w:rPr>
        <w:t>En condiciones de temperaturas bajas el corazón trabaja de más, el aire frío enfría a los pulmones y a los conductos respiratorios y la exposición prolongada a temperaturas bajas está asociada a resfríos e infecciones secundarias de las vías respiratorias.</w:t>
      </w:r>
    </w:p>
    <w:p w:rsidR="002C0CCF" w:rsidRPr="008B43F6" w:rsidRDefault="002C0CCF" w:rsidP="00C92E54">
      <w:pPr>
        <w:rPr>
          <w:spacing w:val="-3"/>
          <w:lang w:val="es-ES_tradnl"/>
        </w:rPr>
      </w:pPr>
      <w:r w:rsidRPr="008B43F6">
        <w:rPr>
          <w:shd w:val="clear" w:color="auto" w:fill="FFFFFF"/>
        </w:rPr>
        <w:t>En condiciones de temperaturas altas, el estar cómodo involucra el disipar el calor de exceso para prevenir que se eleve la temperatura del cuerpo. Esto se logra por medio de una diversión de sangre de los órganos internos a la superficie del cuerpo, lo que lleva a una disminución del flujo de sangre a estos órganos y que resulta en síntomas de enfermedad tales como indigestión, dolor de cabeza, mareos y un sentimiento generalizado de debilidad</w:t>
      </w:r>
      <w:r w:rsidRPr="008B43F6">
        <w:rPr>
          <w:spacing w:val="-3"/>
          <w:lang w:val="es-ES_tradnl"/>
        </w:rPr>
        <w:t>.</w:t>
      </w:r>
    </w:p>
    <w:p w:rsidR="002C0CCF" w:rsidRPr="008B43F6" w:rsidRDefault="002C0CCF" w:rsidP="00C92E54">
      <w:pPr>
        <w:rPr>
          <w:b/>
          <w:color w:val="4F81BD" w:themeColor="accent1"/>
        </w:rPr>
      </w:pPr>
      <w:r w:rsidRPr="008B43F6">
        <w:rPr>
          <w:b/>
          <w:color w:val="4F81BD" w:themeColor="accent1"/>
        </w:rPr>
        <w:t xml:space="preserve"> La humedad</w:t>
      </w:r>
      <w:bookmarkEnd w:id="109"/>
    </w:p>
    <w:p w:rsidR="002C0CCF" w:rsidRPr="008B43F6" w:rsidRDefault="002C0CCF" w:rsidP="00C92E54">
      <w:pPr>
        <w:rPr>
          <w:b/>
          <w:color w:val="4F81BD" w:themeColor="accent1"/>
        </w:rPr>
      </w:pPr>
      <w:r w:rsidRPr="008B43F6">
        <w:rPr>
          <w:b/>
          <w:color w:val="4F81BD" w:themeColor="accent1"/>
        </w:rPr>
        <w:t>Humedad en interiores y riesgos a la salud</w:t>
      </w:r>
    </w:p>
    <w:p w:rsidR="002C0CCF" w:rsidRPr="008B43F6" w:rsidRDefault="002C0CCF" w:rsidP="00C92E54">
      <w:r w:rsidRPr="008B43F6">
        <w:t>Se denomina humedad ambiental a la cantidad de vapor de agua presente en el aire. La humedad relativa es la relación porcentual entre la cantidad de vapor de agua real que contiene el aire y la que necesitaría contener para saturarse a idéntica temperatura, por ejemplo, una humedad relativa del 70% quiere decir que de la totalidad de vapor de agua (el 100%) que podría contener el aire a esta temperatura, solo tiene el 70%.</w:t>
      </w:r>
      <w:r w:rsidRPr="008B43F6">
        <w:footnoteReference w:id="9"/>
      </w:r>
      <w:r w:rsidRPr="008B43F6">
        <w:t xml:space="preserve"> La humedad interior ideal es por debajo del 60 % (lo ideal es entre 30 y 50 %) de humedad relativa </w:t>
      </w:r>
      <w:r w:rsidRPr="008B43F6">
        <w:fldChar w:fldCharType="begin"/>
      </w:r>
      <w:r w:rsidR="00251C87">
        <w:instrText xml:space="preserve"> ADDIN EN.CITE &lt;EndNote&gt;&lt;Cite&gt;&lt;Author&gt;EPA&lt;/Author&gt;&lt;Year&gt;2012&lt;/Year&gt;&lt;RecNum&gt;54&lt;/RecNum&gt;&lt;DisplayText&gt;[49]&lt;/DisplayText&gt;&lt;record&gt;&lt;rec-number&gt;54&lt;/rec-number&gt;&lt;foreign-keys&gt;&lt;key app="EN" db-id="t0v9wvp5gtw2r4efsfnxdz01xvzddafaaa0w"&gt;54&lt;/key&gt;&lt;/foreign-keys&gt;&lt;ref-type name="Web Page"&gt;12&lt;/ref-type&gt;&lt;contributors&gt;&lt;authors&gt;&lt;author&gt;EPA&lt;/author&gt;&lt;/authors&gt;&lt;/contributors&gt;&lt;titles&gt;&lt;title&gt;A Brief Guide to Mold, Moisture, and Your Home&lt;/title&gt;&lt;/titles&gt;&lt;volume&gt;2012&lt;/volume&gt;&lt;number&gt;November 28th&lt;/number&gt;&lt;dates&gt;&lt;year&gt;2012&lt;/year&gt;&lt;/dates&gt;&lt;publisher&gt;Environmental Protection Agency&lt;/publisher&gt;&lt;urls&gt;&lt;related-urls&gt;&lt;url&gt;http://www.epa.gov/mold/preventionandcontrol.html&lt;/url&gt;&lt;/related-urls&gt;&lt;/urls&gt;&lt;/record&gt;&lt;/Cite&gt;&lt;/EndNote&gt;</w:instrText>
      </w:r>
      <w:r w:rsidRPr="008B43F6">
        <w:fldChar w:fldCharType="separate"/>
      </w:r>
      <w:r w:rsidR="00251C87">
        <w:rPr>
          <w:noProof/>
        </w:rPr>
        <w:t>[</w:t>
      </w:r>
      <w:hyperlink w:anchor="_ENREF_49" w:tooltip="EPA, 2012 #54" w:history="1">
        <w:r w:rsidR="00251C87">
          <w:rPr>
            <w:noProof/>
          </w:rPr>
          <w:t>49</w:t>
        </w:r>
      </w:hyperlink>
      <w:r w:rsidR="00251C87">
        <w:rPr>
          <w:noProof/>
        </w:rPr>
        <w:t>]</w:t>
      </w:r>
      <w:r w:rsidRPr="008B43F6">
        <w:fldChar w:fldCharType="end"/>
      </w:r>
      <w:r w:rsidRPr="008B43F6">
        <w:t>.</w:t>
      </w:r>
    </w:p>
    <w:p w:rsidR="002C0CCF" w:rsidRPr="008B43F6" w:rsidRDefault="002C0CCF" w:rsidP="00C92E54">
      <w:r w:rsidRPr="008B43F6">
        <w:t xml:space="preserve">La presencia de muchos agentes biológicos en los ambientes interiores es atribuible a la humedad y a la ventilación inadecuada. En prácticamente todos los materiales interiores, el exceso de humedad conduce al crecimiento de microbios, tales como moho hongos y bacterias, que posteriormente desprenden esporas, células, fragmentos y compuestos orgánicos volátiles hacia el aire interior. Además, la humedad inicia la degradación química o biológica de los materiales, lo cual también contamina dicho aire </w:t>
      </w:r>
      <w:r w:rsidRPr="008B43F6">
        <w:fldChar w:fldCharType="begin"/>
      </w:r>
      <w:r w:rsidR="00251C87">
        <w:instrText xml:space="preserve"> ADDIN EN.CITE &lt;EndNote&gt;&lt;Cite&gt;&lt;Author&gt;Heseltine&lt;/Author&gt;&lt;Year&gt;2009&lt;/Year&gt;&lt;RecNum&gt;45&lt;/RecNum&gt;&lt;DisplayText&gt;[50]&lt;/DisplayText&gt;&lt;record&gt;&lt;rec-number&gt;45&lt;/rec-number&gt;&lt;foreign-keys&gt;&lt;key app="EN" db-id="w0w9edzzlxxfdgesvf359ft8wzxverspwaav"&gt;45&lt;/key&gt;&lt;/foreign-keys&gt;&lt;ref-type name="Report"&gt;27&lt;/ref-type&gt;&lt;contributors&gt;&lt;authors&gt;&lt;author&gt;Elisabeth Heseltine&lt;/author&gt;&lt;author&gt;Jerome Rosen&lt;/author&gt;&lt;/authors&gt;&lt;/contributors&gt;&lt;titles&gt;&lt;title&gt;WHO guidelines for indoor air quality: dampness and mould&lt;/title&gt;&lt;/titles&gt;&lt;dates&gt;&lt;year&gt;2009&lt;/year&gt;&lt;/dates&gt;&lt;pub-location&gt;Geneva, Switzerland&lt;/pub-location&gt;&lt;publisher&gt;World Health Organization&lt;/publisher&gt;&lt;urls&gt;&lt;/urls&gt;&lt;/record&gt;&lt;/Cite&gt;&lt;/EndNote&gt;</w:instrText>
      </w:r>
      <w:r w:rsidRPr="008B43F6">
        <w:fldChar w:fldCharType="separate"/>
      </w:r>
      <w:r w:rsidR="00251C87">
        <w:rPr>
          <w:noProof/>
        </w:rPr>
        <w:t>[</w:t>
      </w:r>
      <w:hyperlink w:anchor="_ENREF_50" w:tooltip="Heseltine, 2009 #45" w:history="1">
        <w:r w:rsidR="00251C87">
          <w:rPr>
            <w:noProof/>
          </w:rPr>
          <w:t>50</w:t>
        </w:r>
      </w:hyperlink>
      <w:r w:rsidR="00251C87">
        <w:rPr>
          <w:noProof/>
        </w:rPr>
        <w:t>]</w:t>
      </w:r>
      <w:r w:rsidRPr="008B43F6">
        <w:fldChar w:fldCharType="end"/>
      </w:r>
      <w:r w:rsidRPr="008B43F6">
        <w:t>.</w:t>
      </w:r>
    </w:p>
    <w:p w:rsidR="002C0CCF" w:rsidRPr="008B43F6" w:rsidRDefault="002C0CCF" w:rsidP="00C92E54">
      <w:r w:rsidRPr="008B43F6">
        <w:t>La exposición a ambientes húmedos y mohosos puede causar una variedad de efectos sobre la salud, o ninguno en absoluto. Algunas personas son sensibles al moho. Para ellas, éste puede causar congestión nasal, irritación de garganta, tos, sibilancias, irritación de los ojos, o, en algunos casos, irritación de la piel. Las personas que son alérgicas al moho pueden presentar reacciones más severas; y tanto aquellas que tienen afecciones del sistema inmunológico como las que padecen enfermedades pulmonares crónicas, como por ejemplo, una enfermedad pulmonar obstructiva, al estar expuestas al moho</w:t>
      </w:r>
      <w:r w:rsidRPr="008B43F6">
        <w:rPr>
          <w:rStyle w:val="hps"/>
          <w:lang w:val="es-ES"/>
        </w:rPr>
        <w:t xml:space="preserve"> </w:t>
      </w:r>
      <w:r w:rsidRPr="008B43F6">
        <w:t xml:space="preserve">pueden sufrir infecciones pulmonares graves </w:t>
      </w:r>
      <w:r w:rsidRPr="008B43F6">
        <w:fldChar w:fldCharType="begin"/>
      </w:r>
      <w:r w:rsidR="00251C87">
        <w:instrText xml:space="preserve"> ADDIN EN.CITE &lt;EndNote&gt;&lt;Cite&gt;&lt;RecNum&gt;44&lt;/RecNum&gt;&lt;DisplayText&gt;[17]&lt;/DisplayText&gt;&lt;record&gt;&lt;rec-number&gt;44&lt;/rec-number&gt;&lt;foreign-keys&gt;&lt;key app="EN" db-id="t0v9wvp5gtw2r4efsfnxdz01xvzddafaaa0w"&gt;44&lt;/key&gt;&lt;/foreign-keys&gt;&lt;ref-type name="Report"&gt;27&lt;/ref-type&gt;&lt;contributors&gt;&lt;authors&gt;&lt;author&gt;AEAEE&lt;/author&gt;&lt;/authors&gt;&lt;/contributors&gt;&lt;titles&gt;&lt;title&gt;Ahorro de Energía en la Edificación en México&lt;/title&gt;&lt;/titles&gt;&lt;pages&gt;20&lt;/pages&gt;&lt;dates&gt;&lt;year&gt;2008&lt;/year&gt;&lt;/dates&gt;&lt;publisher&gt;Asociación de Empresas para el Ahorro de Energía en la Edificación,&lt;/publisher&gt;&lt;urls&gt;&lt;/urls&gt;&lt;/record&gt;&lt;/Cite&gt;&lt;/EndNote&gt;</w:instrText>
      </w:r>
      <w:r w:rsidRPr="008B43F6">
        <w:fldChar w:fldCharType="separate"/>
      </w:r>
      <w:r w:rsidR="003113E5" w:rsidRPr="008B43F6">
        <w:rPr>
          <w:noProof/>
        </w:rPr>
        <w:t>[</w:t>
      </w:r>
      <w:hyperlink w:anchor="_ENREF_17" w:tooltip="AEAEE, 2008 #44" w:history="1">
        <w:r w:rsidR="00251C87" w:rsidRPr="008B43F6">
          <w:rPr>
            <w:noProof/>
          </w:rPr>
          <w:t>17</w:t>
        </w:r>
      </w:hyperlink>
      <w:r w:rsidR="003113E5" w:rsidRPr="008B43F6">
        <w:rPr>
          <w:noProof/>
        </w:rPr>
        <w:t>]</w:t>
      </w:r>
      <w:r w:rsidRPr="008B43F6">
        <w:fldChar w:fldCharType="end"/>
      </w:r>
      <w:r w:rsidRPr="008B43F6">
        <w:t xml:space="preserve">. </w:t>
      </w:r>
      <w:r w:rsidRPr="008B43F6">
        <w:rPr>
          <w:shd w:val="clear" w:color="auto" w:fill="FFFFFF"/>
        </w:rPr>
        <w:t>El exceso de humedad ambiental aumenta la posibilidad de contraer enfermedades respiratorias como el asma, sinusitis, e infecciones pulmonares como la bronquitis.</w:t>
      </w:r>
      <w:r w:rsidRPr="008B43F6">
        <w:rPr>
          <w:shd w:val="clear" w:color="auto" w:fill="FFFFFF"/>
        </w:rPr>
        <w:br/>
        <w:t xml:space="preserve">Debido a la humedad contenida en el aire puede tener sensación de malestar, escalofrios, cansancio, dificultad al respirar, pies frios, dolor de cabeza, malos olores, etc. El frío y la humedad causan un aumento del dolor en algunas personas con enfermedades reumáticas. </w:t>
      </w:r>
      <w:r w:rsidRPr="008B43F6">
        <w:t xml:space="preserve">Es por ello que </w:t>
      </w:r>
      <w:r w:rsidRPr="008B43F6">
        <w:lastRenderedPageBreak/>
        <w:t>al abordar los riesgos para la salud de los contaminantes biológicos del aire en interiores, la humedad puede ser considerada como indicador de riesgo.</w:t>
      </w:r>
    </w:p>
    <w:p w:rsidR="002C0CCF" w:rsidRPr="008B43F6" w:rsidRDefault="002C0CCF" w:rsidP="00C92E54">
      <w:pPr>
        <w:rPr>
          <w:b/>
        </w:rPr>
      </w:pPr>
    </w:p>
    <w:p w:rsidR="002C0CCF" w:rsidRPr="008B43F6" w:rsidRDefault="002C0CCF" w:rsidP="00C92E54">
      <w:pPr>
        <w:rPr>
          <w:b/>
          <w:color w:val="4F81BD" w:themeColor="accent1"/>
        </w:rPr>
      </w:pPr>
      <w:r w:rsidRPr="008B43F6">
        <w:rPr>
          <w:b/>
          <w:color w:val="4F81BD" w:themeColor="accent1"/>
        </w:rPr>
        <w:t>Casos de estudio</w:t>
      </w:r>
    </w:p>
    <w:p w:rsidR="002C0CCF" w:rsidRPr="008B43F6" w:rsidRDefault="002C0CCF" w:rsidP="00C92E54">
      <w:r w:rsidRPr="008B43F6">
        <w:t xml:space="preserve">En el año 2004 el Instituto de Medicina (IDM) encontró que había evidencia suficiente para relacionar la exposición al moho en interiores con síntomas de las vías respiratorias superiores, tos y sibilancias en personas por lo demás sanas, con síntomas de asma en personas con asma y con neumonitis por hipersensibilidad en personas susceptibles a dicha condición relacionada con el sistema inmunológico. El IDM también encontró evidencia limitada o sugerente para vincular la exposición al moho en interiores con enfermedades respiratorias en niños por lo demás sanos </w:t>
      </w:r>
      <w:r w:rsidRPr="008B43F6">
        <w:fldChar w:fldCharType="begin"/>
      </w:r>
      <w:r w:rsidR="00251C87">
        <w:instrText xml:space="preserve"> ADDIN EN.CITE &lt;EndNote&gt;&lt;Cite&gt;&lt;RecNum&gt;44&lt;/RecNum&gt;&lt;DisplayText&gt;[17]&lt;/DisplayText&gt;&lt;record&gt;&lt;rec-number&gt;44&lt;/rec-number&gt;&lt;foreign-keys&gt;&lt;key app="EN" db-id="t0v9wvp5gtw2r4efsfnxdz01xvzddafaaa0w"&gt;44&lt;/key&gt;&lt;/foreign-keys&gt;&lt;ref-type name="Report"&gt;27&lt;/ref-type&gt;&lt;contributors&gt;&lt;authors&gt;&lt;author&gt;AEAEE&lt;/author&gt;&lt;/authors&gt;&lt;/contributors&gt;&lt;titles&gt;&lt;title&gt;Ahorro de Energía en la Edificación en México&lt;/title&gt;&lt;/titles&gt;&lt;pages&gt;20&lt;/pages&gt;&lt;dates&gt;&lt;year&gt;2008&lt;/year&gt;&lt;/dates&gt;&lt;publisher&gt;Asociación de Empresas para el Ahorro de Energía en la Edificación,&lt;/publisher&gt;&lt;urls&gt;&lt;/urls&gt;&lt;/record&gt;&lt;/Cite&gt;&lt;/EndNote&gt;</w:instrText>
      </w:r>
      <w:r w:rsidRPr="008B43F6">
        <w:fldChar w:fldCharType="separate"/>
      </w:r>
      <w:r w:rsidR="003113E5" w:rsidRPr="008B43F6">
        <w:rPr>
          <w:noProof/>
        </w:rPr>
        <w:t>[</w:t>
      </w:r>
      <w:hyperlink w:anchor="_ENREF_17" w:tooltip="AEAEE, 2008 #44" w:history="1">
        <w:r w:rsidR="00251C87" w:rsidRPr="008B43F6">
          <w:rPr>
            <w:noProof/>
          </w:rPr>
          <w:t>17</w:t>
        </w:r>
      </w:hyperlink>
      <w:r w:rsidR="003113E5" w:rsidRPr="008B43F6">
        <w:rPr>
          <w:noProof/>
        </w:rPr>
        <w:t>]</w:t>
      </w:r>
      <w:r w:rsidRPr="008B43F6">
        <w:fldChar w:fldCharType="end"/>
      </w:r>
      <w:r w:rsidRPr="008B43F6">
        <w:t>.</w:t>
      </w:r>
    </w:p>
    <w:p w:rsidR="002C0CCF" w:rsidRPr="008B43F6" w:rsidRDefault="002C0CCF" w:rsidP="00C92E54">
      <w:pPr>
        <w:rPr>
          <w:shd w:val="clear" w:color="auto" w:fill="FFFFFF"/>
        </w:rPr>
      </w:pPr>
      <w:r w:rsidRPr="008B43F6">
        <w:rPr>
          <w:shd w:val="clear" w:color="auto" w:fill="FFFFFF"/>
        </w:rPr>
        <w:t>Diversos estudios demuestran la relación existente entre estas enfermedades y un ambiente húmedo: de 134 adolescentes afectados por asma, bronquitis asmatiforma o bronquitis crónica, un 78% viven en habitaciones muy húmedas, un 17% en habitaciones secas y un 5% en habitaciones muy secas. Observaciones parecidas se hicieron con 103 pacientes con rinitis crónica: el 83% vivían en habitaciones húmedas, el 13% en habitaciones secas y el 4% en habitaciones demasiado secas</w:t>
      </w:r>
    </w:p>
    <w:p w:rsidR="002C0CCF" w:rsidRPr="008B43F6" w:rsidRDefault="002C0CCF" w:rsidP="00C92E54">
      <w:pPr>
        <w:rPr>
          <w:b/>
          <w:color w:val="4F81BD" w:themeColor="accent1"/>
          <w:shd w:val="clear" w:color="auto" w:fill="FFFFFF"/>
        </w:rPr>
      </w:pPr>
      <w:r w:rsidRPr="008B43F6">
        <w:rPr>
          <w:b/>
          <w:color w:val="4F81BD" w:themeColor="accent1"/>
          <w:shd w:val="clear" w:color="auto" w:fill="FFFFFF"/>
        </w:rPr>
        <w:t>Afecciones en niños</w:t>
      </w:r>
    </w:p>
    <w:p w:rsidR="002C0CCF" w:rsidRPr="008B43F6" w:rsidRDefault="002C0CCF" w:rsidP="00C92E54">
      <w:pPr>
        <w:rPr>
          <w:shd w:val="clear" w:color="auto" w:fill="FFFFFF"/>
        </w:rPr>
      </w:pPr>
      <w:r w:rsidRPr="008B43F6">
        <w:rPr>
          <w:shd w:val="clear" w:color="auto" w:fill="FFFFFF"/>
        </w:rPr>
        <w:t xml:space="preserve">Los problemas descritos son más perniciosos en la etapa infantil, cuando un </w:t>
      </w:r>
      <w:hyperlink r:id="rId19" w:history="1">
        <w:r w:rsidRPr="008B43F6">
          <w:rPr>
            <w:shd w:val="clear" w:color="auto" w:fill="FFFFFF"/>
          </w:rPr>
          <w:t>sistema inmunitario</w:t>
        </w:r>
      </w:hyperlink>
      <w:r w:rsidRPr="008B43F6">
        <w:rPr>
          <w:shd w:val="clear" w:color="auto" w:fill="FFFFFF"/>
        </w:rPr>
        <w:t xml:space="preserve"> inmaduro propicia un mayor desarrollo de enfermedades respiratorias. Si bien una exposición moderada a ciertos agentes ayuda a fortalecer este sistema de defensa, ésta debe controlarse si no se quiere que los más pequeños pierdan la batalla contra los alérgenos. Quienes viven en casas húmedas, con tuberías de agua dañadas (filtraciones en los techos), hongos visibles u olor a humedad, pueden ser más propensos a desarrollar alergias nasales, según un nuevo estudio publicado en "American Journal of Epidemiology", realizado con una muestra de 1,900 niños finlandeses.</w:t>
      </w:r>
    </w:p>
    <w:p w:rsidR="002C0CCF" w:rsidRPr="008B43F6" w:rsidRDefault="002C0CCF" w:rsidP="00C92E54">
      <w:pPr>
        <w:rPr>
          <w:shd w:val="clear" w:color="auto" w:fill="FFFFFF"/>
        </w:rPr>
      </w:pPr>
      <w:r w:rsidRPr="008B43F6">
        <w:rPr>
          <w:shd w:val="clear" w:color="auto" w:fill="FFFFFF"/>
        </w:rPr>
        <w:t xml:space="preserve">Según los resultados, el 16% de los menores que vivían en hogares con niveles elevados de humedad dieron positivo en los análisis de </w:t>
      </w:r>
      <w:hyperlink r:id="rId20" w:history="1">
        <w:r w:rsidRPr="008B43F6">
          <w:rPr>
            <w:shd w:val="clear" w:color="auto" w:fill="FFFFFF"/>
          </w:rPr>
          <w:t>rinitis alérgica</w:t>
        </w:r>
      </w:hyperlink>
      <w:r w:rsidRPr="008B43F6">
        <w:rPr>
          <w:shd w:val="clear" w:color="auto" w:fill="FFFFFF"/>
        </w:rPr>
        <w:t xml:space="preserve"> realizados en los siguientes seis años. El porcentaje fue inferior al 12% entre quienes carecían de problemas de humedad en el hogar.</w:t>
      </w:r>
    </w:p>
    <w:p w:rsidR="002C0CCF" w:rsidRPr="008B43F6" w:rsidRDefault="002C0CCF" w:rsidP="00C92E54">
      <w:pPr>
        <w:rPr>
          <w:shd w:val="clear" w:color="auto" w:fill="FFFFFF"/>
        </w:rPr>
      </w:pPr>
      <w:r w:rsidRPr="008B43F6">
        <w:rPr>
          <w:shd w:val="clear" w:color="auto" w:fill="FFFFFF"/>
        </w:rPr>
        <w:t xml:space="preserve">Otro informe publicado en "Environmental Health Perspectives", llevado a cabo por investigadores de la Universidad de Birmingham (Reino Unido), concluía que la humedad acumulada en </w:t>
      </w:r>
      <w:hyperlink r:id="rId21" w:history="1">
        <w:r w:rsidRPr="008B43F6">
          <w:rPr>
            <w:shd w:val="clear" w:color="auto" w:fill="FFFFFF"/>
          </w:rPr>
          <w:t>paredes</w:t>
        </w:r>
      </w:hyperlink>
      <w:r w:rsidRPr="008B43F6">
        <w:rPr>
          <w:shd w:val="clear" w:color="auto" w:fill="FFFFFF"/>
        </w:rPr>
        <w:t xml:space="preserve">, sótanos y alfombras del hogar, así como el olor a moho, duplican el riesgo de desarrollar asma en los niños de 1 a 7 años. Los ácaros son los responsables de la mayor parte de alergias respiratorias. Los ácaros crecen, sobre todo, en cojines y colchones. </w:t>
      </w:r>
    </w:p>
    <w:p w:rsidR="002C0CCF" w:rsidRPr="008B43F6" w:rsidRDefault="002C0CCF" w:rsidP="00C92E54">
      <w:pPr>
        <w:rPr>
          <w:b/>
          <w:color w:val="4F81BD" w:themeColor="accent1"/>
        </w:rPr>
      </w:pPr>
      <w:r w:rsidRPr="008B43F6">
        <w:rPr>
          <w:b/>
          <w:color w:val="4F81BD" w:themeColor="accent1"/>
        </w:rPr>
        <w:t>La ionización</w:t>
      </w:r>
    </w:p>
    <w:p w:rsidR="002C0CCF" w:rsidRPr="008B43F6" w:rsidRDefault="002C0CCF" w:rsidP="00C92E54">
      <w:pPr>
        <w:rPr>
          <w:shd w:val="clear" w:color="auto" w:fill="FFFFFF"/>
        </w:rPr>
      </w:pPr>
      <w:r w:rsidRPr="008B43F6">
        <w:rPr>
          <w:shd w:val="clear" w:color="auto" w:fill="FFFFFF"/>
        </w:rPr>
        <w:lastRenderedPageBreak/>
        <w:t>Además de incorporar aire no contaminado y de sacar contaminantes, el aire de ventilación (esto es, aire externo) se percibe como "aire fresco", en contraste con el sentimiento de "aire estancado" que tiene el aire en zonas de alta concentración humana. La "frescura" del aire parece estar relacionada con el contenido de iones en ese momento. El aire exterior tiene generalmente el contenido de iones asociado a la frescura, mientras que el aire interno en espacios densamente ocupados no lo tiene.</w:t>
      </w:r>
    </w:p>
    <w:p w:rsidR="002C0CCF" w:rsidRPr="008B43F6" w:rsidRDefault="002C0CCF" w:rsidP="00C92E54">
      <w:pPr>
        <w:rPr>
          <w:shd w:val="clear" w:color="auto" w:fill="FFFFFF"/>
        </w:rPr>
      </w:pPr>
      <w:r w:rsidRPr="008B43F6">
        <w:rPr>
          <w:shd w:val="clear" w:color="auto" w:fill="FFFFFF"/>
        </w:rPr>
        <w:t xml:space="preserve">En el ambiente interior la ionización tiene beneficios que incluyen la destrucción de bacterias y la eliminación de olores. Sin embargo, las técnicas de construcción convencionales suelen ignorar los beneficios de la ionización. </w:t>
      </w:r>
    </w:p>
    <w:p w:rsidR="002C0CCF" w:rsidRPr="008B43F6" w:rsidRDefault="002C0CCF" w:rsidP="00C92E54">
      <w:pPr>
        <w:rPr>
          <w:b/>
          <w:color w:val="4F81BD" w:themeColor="accent1"/>
        </w:rPr>
      </w:pPr>
      <w:bookmarkStart w:id="110" w:name="_Toc347629460"/>
      <w:r w:rsidRPr="008B43F6">
        <w:rPr>
          <w:b/>
          <w:color w:val="4F81BD" w:themeColor="accent1"/>
        </w:rPr>
        <w:t>La contaminación interior</w:t>
      </w:r>
      <w:bookmarkEnd w:id="110"/>
    </w:p>
    <w:p w:rsidR="002C0CCF" w:rsidRPr="008B43F6" w:rsidRDefault="002C0CCF" w:rsidP="00C92E54">
      <w:pPr>
        <w:rPr>
          <w:rFonts w:cs="Arial"/>
        </w:rPr>
      </w:pPr>
      <w:r w:rsidRPr="008B43F6">
        <w:rPr>
          <w:rFonts w:cs="Arial"/>
        </w:rPr>
        <w:t xml:space="preserve">La contaminación en el interior tiene diferentes orígenes: los propios ocupantes, los materiales inadecuados o con defectos técnicos utilizados en la construcción del edificio; el trabajo realizado en el interior; el uso excesivo o inadecuado de productos normales (plaguicidas, desinfectantes, productos de limpieza y encerado); los gases de combustión procedentes del tabaco, de las cocinas, de las cafeterías y de los laboratorios); contaminación biológica (su origen se debe fundamentalmente a la presencia de agua estancada, de materiales impregnados con agua, gases, etc.), la conjunción de contaminantes procedentes de otras zonas mal ventiladas que se difunde hacia áreas vecinas </w:t>
      </w:r>
      <w:r w:rsidRPr="008B43F6">
        <w:rPr>
          <w:rFonts w:cs="Arial"/>
        </w:rPr>
        <w:fldChar w:fldCharType="begin"/>
      </w:r>
      <w:r w:rsidR="00251C87">
        <w:rPr>
          <w:rFonts w:cs="Arial"/>
        </w:rPr>
        <w:instrText xml:space="preserve"> ADDIN EN.CITE &lt;EndNote&gt;&lt;Cite&gt;&lt;Author&gt;Solá&lt;/Author&gt;&lt;RecNum&gt;43&lt;/RecNum&gt;&lt;DisplayText&gt;[48]&lt;/DisplayText&gt;&lt;record&gt;&lt;rec-number&gt;43&lt;/rec-number&gt;&lt;foreign-keys&gt;&lt;key app="EN" db-id="w0w9edzzlxxfdgesvf359ft8wzxverspwaav"&gt;43&lt;/key&gt;&lt;/foreign-keys&gt;&lt;ref-type name="Encyclopedia"&gt;53&lt;/ref-type&gt;&lt;contributors&gt;&lt;authors&gt;&lt;author&gt;Xavier Guardino Solá&lt;/author&gt;&lt;/authors&gt;&lt;/contributors&gt;&lt;titles&gt;&lt;title&gt;Calidad del Aire Interior&lt;/title&gt;&lt;secondary-title&gt;Enciclopedia de Seguridad y Salud en el Trabajo&lt;/secondary-title&gt;&lt;/titles&gt;&lt;dates&gt;&lt;/dates&gt;&lt;urls&gt;&lt;related-urls&gt;&lt;url&gt;http://www.insht.es/InshtWeb/Contenidos/Documentacion/TextosOnline/EnciclopediaOIT/tomo2/44.pdf&lt;/url&gt;&lt;/related-urls&gt;&lt;/urls&gt;&lt;/record&gt;&lt;/Cite&gt;&lt;/EndNote&gt;</w:instrText>
      </w:r>
      <w:r w:rsidRPr="008B43F6">
        <w:rPr>
          <w:rFonts w:cs="Arial"/>
        </w:rPr>
        <w:fldChar w:fldCharType="separate"/>
      </w:r>
      <w:r w:rsidR="00251C87">
        <w:rPr>
          <w:rFonts w:cs="Arial"/>
          <w:noProof/>
        </w:rPr>
        <w:t>[</w:t>
      </w:r>
      <w:hyperlink w:anchor="_ENREF_48" w:tooltip="Solá,  #43" w:history="1">
        <w:r w:rsidR="00251C87">
          <w:rPr>
            <w:rFonts w:cs="Arial"/>
            <w:noProof/>
          </w:rPr>
          <w:t>48</w:t>
        </w:r>
      </w:hyperlink>
      <w:r w:rsidR="00251C87">
        <w:rPr>
          <w:rFonts w:cs="Arial"/>
          <w:noProof/>
        </w:rPr>
        <w:t>]</w:t>
      </w:r>
      <w:r w:rsidRPr="008B43F6">
        <w:rPr>
          <w:rFonts w:cs="Arial"/>
        </w:rPr>
        <w:fldChar w:fldCharType="end"/>
      </w:r>
      <w:r w:rsidRPr="008B43F6">
        <w:rPr>
          <w:rFonts w:cs="Arial"/>
        </w:rPr>
        <w:t xml:space="preserve">. </w:t>
      </w:r>
    </w:p>
    <w:p w:rsidR="002C0CCF" w:rsidRPr="008B43F6" w:rsidRDefault="002C0CCF" w:rsidP="00C92E54">
      <w:pPr>
        <w:rPr>
          <w:rFonts w:cs="Arial"/>
        </w:rPr>
      </w:pPr>
      <w:r w:rsidRPr="008B43F6">
        <w:rPr>
          <w:rFonts w:cs="Arial"/>
        </w:rPr>
        <w:t xml:space="preserve">Debe considerarse también la contaminación procedente del exterior. Se ha observado que cuando aumenta la concentración de un contaminante en el aire exterior, lo hace también en el interior, aunque de forma más lenta (la relación es similar cuando la concentración disminuye); por consiguiente, puede afirmarse que los edificios ejercen un efecto de escudo frente a los contaminantes externos. Con todo, el medio ambiente del interior de un edificio no es, naturalmente, un reflejo exacto de las condiciones del exterior </w:t>
      </w:r>
      <w:r w:rsidRPr="008B43F6">
        <w:rPr>
          <w:rFonts w:cs="Arial"/>
        </w:rPr>
        <w:fldChar w:fldCharType="begin"/>
      </w:r>
      <w:r w:rsidR="00251C87">
        <w:rPr>
          <w:rFonts w:cs="Arial"/>
        </w:rPr>
        <w:instrText xml:space="preserve"> ADDIN EN.CITE &lt;EndNote&gt;&lt;Cite&gt;&lt;Author&gt;Solá&lt;/Author&gt;&lt;RecNum&gt;43&lt;/RecNum&gt;&lt;DisplayText&gt;[48]&lt;/DisplayText&gt;&lt;record&gt;&lt;rec-number&gt;43&lt;/rec-number&gt;&lt;foreign-keys&gt;&lt;key app="EN" db-id="w0w9edzzlxxfdgesvf359ft8wzxverspwaav"&gt;43&lt;/key&gt;&lt;/foreign-keys&gt;&lt;ref-type name="Encyclopedia"&gt;53&lt;/ref-type&gt;&lt;contributors&gt;&lt;authors&gt;&lt;author&gt;Xavier Guardino Solá&lt;/author&gt;&lt;/authors&gt;&lt;/contributors&gt;&lt;titles&gt;&lt;title&gt;Calidad del Aire Interior&lt;/title&gt;&lt;secondary-title&gt;Enciclopedia de Seguridad y Salud en el Trabajo&lt;/secondary-title&gt;&lt;/titles&gt;&lt;dates&gt;&lt;/dates&gt;&lt;urls&gt;&lt;related-urls&gt;&lt;url&gt;http://www.insht.es/InshtWeb/Contenidos/Documentacion/TextosOnline/EnciclopediaOIT/tomo2/44.pdf&lt;/url&gt;&lt;/related-urls&gt;&lt;/urls&gt;&lt;/record&gt;&lt;/Cite&gt;&lt;/EndNote&gt;</w:instrText>
      </w:r>
      <w:r w:rsidRPr="008B43F6">
        <w:rPr>
          <w:rFonts w:cs="Arial"/>
        </w:rPr>
        <w:fldChar w:fldCharType="separate"/>
      </w:r>
      <w:r w:rsidR="00251C87">
        <w:rPr>
          <w:rFonts w:cs="Arial"/>
          <w:noProof/>
        </w:rPr>
        <w:t>[</w:t>
      </w:r>
      <w:hyperlink w:anchor="_ENREF_48" w:tooltip="Solá,  #43" w:history="1">
        <w:r w:rsidR="00251C87">
          <w:rPr>
            <w:rFonts w:cs="Arial"/>
            <w:noProof/>
          </w:rPr>
          <w:t>48</w:t>
        </w:r>
      </w:hyperlink>
      <w:r w:rsidR="00251C87">
        <w:rPr>
          <w:rFonts w:cs="Arial"/>
          <w:noProof/>
        </w:rPr>
        <w:t>]</w:t>
      </w:r>
      <w:r w:rsidRPr="008B43F6">
        <w:rPr>
          <w:rFonts w:cs="Arial"/>
        </w:rPr>
        <w:fldChar w:fldCharType="end"/>
      </w:r>
      <w:r w:rsidRPr="008B43F6">
        <w:rPr>
          <w:rFonts w:cs="Arial"/>
        </w:rPr>
        <w:t xml:space="preserve">. </w:t>
      </w:r>
      <w:bookmarkStart w:id="111" w:name="_Toc347629462"/>
      <w:bookmarkEnd w:id="107"/>
    </w:p>
    <w:p w:rsidR="002C0CCF" w:rsidRPr="008B43F6" w:rsidRDefault="002C0CCF" w:rsidP="00C92E54">
      <w:pPr>
        <w:rPr>
          <w:rFonts w:cs="Arial"/>
        </w:rPr>
      </w:pPr>
      <w:r w:rsidRPr="008B43F6">
        <w:rPr>
          <w:rFonts w:cs="Arial"/>
        </w:rPr>
        <w:t xml:space="preserve">Generalmente los efectos de los contaminantes están relacionados con su nivel de concentración en el aire interior y la exposición y susceptibilidad de los ocupantes de estos espacios a los mismos </w:t>
      </w:r>
      <w:r w:rsidRPr="008B43F6">
        <w:rPr>
          <w:rFonts w:cs="Arial"/>
          <w:lang w:val="en-US"/>
        </w:rPr>
        <w:fldChar w:fldCharType="begin"/>
      </w:r>
      <w:r w:rsidR="00251C87" w:rsidRPr="00251C87">
        <w:rPr>
          <w:rFonts w:cs="Arial"/>
        </w:rPr>
        <w:instrText xml:space="preserve"> ADDIN EN.CITE &lt;EndNote&gt;&lt;Cite&gt;&lt;Author&gt;Alvarez&lt;/Author&gt;&lt;Year&gt;1996&lt;/Year&gt;&lt;RecNum&gt;41&lt;/RecNum&gt;&lt;DisplayText&gt;[45]&lt;/DisplayText&gt;&lt;record&gt;&lt;rec-number&gt;41&lt;/rec-number&gt;&lt;foreign-keys&gt;&lt;key app="EN" db-id="w0w9edzzlxxfdgesvf359ft8wzxverspwaav"&gt;41&lt;/key&gt;&lt;/foreign-keys&gt;&lt;ref-type name="Report"&gt;27&lt;/ref-type&gt;&lt;contributors&gt;&lt;authors&gt;&lt;author&gt;Servando Alvarez&lt;/author&gt;&lt;author&gt;Roger Baldwin&lt;/author&gt;&lt;author&gt;Geo Clausen&lt;/author&gt;&lt;author&gt;Eduardo De Oliveira&lt;/author&gt;&lt;author&gt;Sten Olaf Hansenn&lt;/author&gt;&lt;author&gt;George Helck&lt;/author&gt;&lt;/authors&gt;&lt;secondary-authors&gt;&lt;author&gt;European Collaborative Action&lt;/author&gt;&lt;/secondary-authors&gt;&lt;/contributors&gt;&lt;titles&gt;&lt;title&gt;Indoor Air Quality and the Use of Energy in Buildings&lt;/title&gt;&lt;secondary-title&gt;Indoor Air Quality and its Impact on Man&lt;/secondary-title&gt;&lt;/titles&gt;&lt;num-vols&gt;17&lt;/num-vols&gt;&lt;dates&gt;&lt;year&gt;1996&lt;/year&gt;&lt;/dates&gt;&lt;pub-location&gt;Brussels&lt;/pub-location&gt;&lt;publisher&gt;European Comission, Joint Research Centre, Environment Institute&lt;/publisher&gt;&lt;urls&gt;&lt;related-urls&gt;&lt;url&gt;http://www.inive.org/medias/ECA/ECA_Report17.pdf&lt;/url&gt;&lt;/related-urls&gt;&lt;/urls&gt;&lt;/record&gt;&lt;/Cite&gt;&lt;/EndNote&gt;</w:instrText>
      </w:r>
      <w:r w:rsidRPr="008B43F6">
        <w:rPr>
          <w:rFonts w:cs="Arial"/>
          <w:lang w:val="en-US"/>
        </w:rPr>
        <w:fldChar w:fldCharType="separate"/>
      </w:r>
      <w:r w:rsidR="00251C87" w:rsidRPr="00251C87">
        <w:rPr>
          <w:rFonts w:cs="Arial"/>
          <w:noProof/>
        </w:rPr>
        <w:t>[</w:t>
      </w:r>
      <w:hyperlink w:anchor="_ENREF_45" w:tooltip="Alvarez, 1996 #41" w:history="1">
        <w:r w:rsidR="00251C87" w:rsidRPr="00251C87">
          <w:rPr>
            <w:rFonts w:cs="Arial"/>
            <w:noProof/>
          </w:rPr>
          <w:t>45</w:t>
        </w:r>
      </w:hyperlink>
      <w:r w:rsidR="00251C87" w:rsidRPr="00251C87">
        <w:rPr>
          <w:rFonts w:cs="Arial"/>
          <w:noProof/>
        </w:rPr>
        <w:t>]</w:t>
      </w:r>
      <w:r w:rsidRPr="008B43F6">
        <w:rPr>
          <w:rFonts w:cs="Arial"/>
          <w:lang w:val="en-US"/>
        </w:rPr>
        <w:fldChar w:fldCharType="end"/>
      </w:r>
      <w:r w:rsidRPr="008B43F6">
        <w:rPr>
          <w:rFonts w:cs="Arial"/>
        </w:rPr>
        <w:t xml:space="preserve">. Por lo común resulta difícil establecer con precisión en qué medida la mala calidad del aire interior puede afectar la salud, ya que no se dispone de suficiente información sobre la relación entre la exposición y el efecto que ésta produce a las concentraciones en las que suelen estar presentes los contaminantes </w:t>
      </w:r>
      <w:r w:rsidRPr="008B43F6">
        <w:rPr>
          <w:rFonts w:cs="Arial"/>
        </w:rPr>
        <w:fldChar w:fldCharType="begin"/>
      </w:r>
      <w:r w:rsidR="00251C87">
        <w:rPr>
          <w:rFonts w:cs="Arial"/>
        </w:rPr>
        <w:instrText xml:space="preserve"> ADDIN EN.CITE &lt;EndNote&gt;&lt;Cite&gt;&lt;Author&gt;Solá&lt;/Author&gt;&lt;RecNum&gt;43&lt;/RecNum&gt;&lt;DisplayText&gt;[48]&lt;/DisplayText&gt;&lt;record&gt;&lt;rec-number&gt;43&lt;/rec-number&gt;&lt;foreign-keys&gt;&lt;key app="EN" db-id="w0w9edzzlxxfdgesvf359ft8wzxverspwaav"&gt;43&lt;/key&gt;&lt;/foreign-keys&gt;&lt;ref-type name="Encyclopedia"&gt;53&lt;/ref-type&gt;&lt;contributors&gt;&lt;authors&gt;&lt;author&gt;Xavier Guardino Solá&lt;/author&gt;&lt;/authors&gt;&lt;/contributors&gt;&lt;titles&gt;&lt;title&gt;Calidad del Aire Interior&lt;/title&gt;&lt;secondary-title&gt;Enciclopedia de Seguridad y Salud en el Trabajo&lt;/secondary-title&gt;&lt;/titles&gt;&lt;dates&gt;&lt;/dates&gt;&lt;urls&gt;&lt;related-urls&gt;&lt;url&gt;http://www.insht.es/InshtWeb/Contenidos/Documentacion/TextosOnline/EnciclopediaOIT/tomo2/44.pdf&lt;/url&gt;&lt;/related-urls&gt;&lt;/urls&gt;&lt;/record&gt;&lt;/Cite&gt;&lt;/EndNote&gt;</w:instrText>
      </w:r>
      <w:r w:rsidRPr="008B43F6">
        <w:rPr>
          <w:rFonts w:cs="Arial"/>
        </w:rPr>
        <w:fldChar w:fldCharType="separate"/>
      </w:r>
      <w:r w:rsidR="00251C87">
        <w:rPr>
          <w:rFonts w:cs="Arial"/>
          <w:noProof/>
        </w:rPr>
        <w:t>[</w:t>
      </w:r>
      <w:hyperlink w:anchor="_ENREF_48" w:tooltip="Solá,  #43" w:history="1">
        <w:r w:rsidR="00251C87">
          <w:rPr>
            <w:rFonts w:cs="Arial"/>
            <w:noProof/>
          </w:rPr>
          <w:t>48</w:t>
        </w:r>
      </w:hyperlink>
      <w:r w:rsidR="00251C87">
        <w:rPr>
          <w:rFonts w:cs="Arial"/>
          <w:noProof/>
        </w:rPr>
        <w:t>]</w:t>
      </w:r>
      <w:r w:rsidRPr="008B43F6">
        <w:rPr>
          <w:rFonts w:cs="Arial"/>
        </w:rPr>
        <w:fldChar w:fldCharType="end"/>
      </w:r>
      <w:r w:rsidRPr="008B43F6">
        <w:rPr>
          <w:rFonts w:cs="Arial"/>
        </w:rPr>
        <w:t xml:space="preserve">. </w:t>
      </w:r>
    </w:p>
    <w:p w:rsidR="002C0CCF" w:rsidRPr="008B43F6" w:rsidRDefault="002C0CCF" w:rsidP="00C92E54">
      <w:pPr>
        <w:rPr>
          <w:rFonts w:cs="Arial"/>
        </w:rPr>
      </w:pPr>
      <w:r w:rsidRPr="008B43F6">
        <w:rPr>
          <w:rFonts w:cs="Arial"/>
        </w:rPr>
        <w:t xml:space="preserve">Entre los contaminantes más habituales en el aire interior se encuentran, aparte de los procedentes del exterior, los metales, el amianto y otros materiales fibrosos, el formaldehído, el ozono, los plaguicidas y los compuestos orgánicos en general, el radón, el polvo doméstico y los aerosoles biológicos. A ellos se añade una amplia variedad de microorganismos, como los hongos, las bacterias, los virus y los protozoos, de los cuales los hongos y las bacterias saprófitos son los que mejor se conocen, probablemente debido a que se dispone de la tecnología necesaria para medirlos en el aire </w:t>
      </w:r>
      <w:r w:rsidRPr="008B43F6">
        <w:rPr>
          <w:rFonts w:cs="Arial"/>
        </w:rPr>
        <w:fldChar w:fldCharType="begin"/>
      </w:r>
      <w:r w:rsidR="00251C87">
        <w:rPr>
          <w:rFonts w:cs="Arial"/>
        </w:rPr>
        <w:instrText xml:space="preserve"> ADDIN EN.CITE &lt;EndNote&gt;&lt;Cite&gt;&lt;Author&gt;Solá&lt;/Author&gt;&lt;RecNum&gt;43&lt;/RecNum&gt;&lt;DisplayText&gt;[48]&lt;/DisplayText&gt;&lt;record&gt;&lt;rec-number&gt;43&lt;/rec-number&gt;&lt;foreign-keys&gt;&lt;key app="EN" db-id="w0w9edzzlxxfdgesvf359ft8wzxverspwaav"&gt;43&lt;/key&gt;&lt;/foreign-keys&gt;&lt;ref-type name="Encyclopedia"&gt;53&lt;/ref-type&gt;&lt;contributors&gt;&lt;authors&gt;&lt;author&gt;Xavier Guardino Solá&lt;/author&gt;&lt;/authors&gt;&lt;/contributors&gt;&lt;titles&gt;&lt;title&gt;Calidad del Aire Interior&lt;/title&gt;&lt;secondary-title&gt;Enciclopedia de Seguridad y Salud en el Trabajo&lt;/secondary-title&gt;&lt;/titles&gt;&lt;dates&gt;&lt;/dates&gt;&lt;urls&gt;&lt;related-urls&gt;&lt;url&gt;http://www.insht.es/InshtWeb/Contenidos/Documentacion/TextosOnline/EnciclopediaOIT/tomo2/44.pdf&lt;/url&gt;&lt;/related-urls&gt;&lt;/urls&gt;&lt;/record&gt;&lt;/Cite&gt;&lt;/EndNote&gt;</w:instrText>
      </w:r>
      <w:r w:rsidRPr="008B43F6">
        <w:rPr>
          <w:rFonts w:cs="Arial"/>
        </w:rPr>
        <w:fldChar w:fldCharType="separate"/>
      </w:r>
      <w:r w:rsidR="00251C87">
        <w:rPr>
          <w:rFonts w:cs="Arial"/>
          <w:noProof/>
        </w:rPr>
        <w:t>[</w:t>
      </w:r>
      <w:hyperlink w:anchor="_ENREF_48" w:tooltip="Solá,  #43" w:history="1">
        <w:r w:rsidR="00251C87">
          <w:rPr>
            <w:rFonts w:cs="Arial"/>
            <w:noProof/>
          </w:rPr>
          <w:t>48</w:t>
        </w:r>
      </w:hyperlink>
      <w:r w:rsidR="00251C87">
        <w:rPr>
          <w:rFonts w:cs="Arial"/>
          <w:noProof/>
        </w:rPr>
        <w:t>]</w:t>
      </w:r>
      <w:r w:rsidRPr="008B43F6">
        <w:rPr>
          <w:rFonts w:cs="Arial"/>
        </w:rPr>
        <w:fldChar w:fldCharType="end"/>
      </w:r>
      <w:r w:rsidRPr="008B43F6">
        <w:rPr>
          <w:rFonts w:cs="Arial"/>
        </w:rPr>
        <w:t xml:space="preserve">. </w:t>
      </w:r>
    </w:p>
    <w:p w:rsidR="002C0CCF" w:rsidRPr="008B43F6" w:rsidRDefault="002C0CCF" w:rsidP="00C92E54">
      <w:r w:rsidRPr="008B43F6">
        <w:lastRenderedPageBreak/>
        <w:t>Fuentes dentro del edificio</w:t>
      </w:r>
      <w:bookmarkEnd w:id="111"/>
    </w:p>
    <w:p w:rsidR="002C0CCF" w:rsidRPr="008B43F6" w:rsidRDefault="002C0CCF" w:rsidP="00C92E54">
      <w:pPr>
        <w:pStyle w:val="Prrafodelista"/>
        <w:numPr>
          <w:ilvl w:val="0"/>
          <w:numId w:val="22"/>
        </w:numPr>
        <w:rPr>
          <w:rFonts w:cs="Arial"/>
        </w:rPr>
      </w:pPr>
      <w:r w:rsidRPr="008B43F6">
        <w:rPr>
          <w:rFonts w:cs="Arial"/>
          <w:b/>
        </w:rPr>
        <w:t>Combustión</w:t>
      </w:r>
      <w:r w:rsidRPr="008B43F6">
        <w:rPr>
          <w:rFonts w:cs="Arial"/>
        </w:rPr>
        <w:t xml:space="preserve"> Los niveles elevados de contaminantes generados por combustión, en particular de dióxido de nitrógeno y monóxido de carbono en espacios interiores, suelen proceder de aparatos de combustión mal ventilados o con un mantenimiento deficiente y del consumo de tabaco. Los calentadores de queroseno y de gas no ventilados emiten cantidades importantes de CO, CO</w:t>
      </w:r>
      <w:r w:rsidRPr="008B43F6">
        <w:rPr>
          <w:rFonts w:cs="Arial"/>
          <w:vertAlign w:val="subscript"/>
        </w:rPr>
        <w:t>2</w:t>
      </w:r>
      <w:r w:rsidRPr="008B43F6">
        <w:rPr>
          <w:rFonts w:cs="Arial"/>
        </w:rPr>
        <w:t>, NO</w:t>
      </w:r>
      <w:r w:rsidRPr="008B43F6">
        <w:rPr>
          <w:rFonts w:cs="Arial"/>
          <w:vertAlign w:val="subscript"/>
        </w:rPr>
        <w:t>x</w:t>
      </w:r>
      <w:r w:rsidRPr="008B43F6">
        <w:rPr>
          <w:rFonts w:cs="Arial"/>
        </w:rPr>
        <w:t>, SO</w:t>
      </w:r>
      <w:r w:rsidRPr="008B43F6">
        <w:rPr>
          <w:rFonts w:cs="Arial"/>
          <w:vertAlign w:val="subscript"/>
        </w:rPr>
        <w:t>2</w:t>
      </w:r>
      <w:r w:rsidRPr="008B43F6">
        <w:rPr>
          <w:rFonts w:cs="Arial"/>
        </w:rPr>
        <w:t xml:space="preserve">, partículas y formaldehído. Las cocinas y hornos de gas también liberan estos productos directamente al aire interior. En condiciones de funcionamiento normales, los calentadores de aire a presión con calefacción por gas y los calentadores de agua no deben liberar productos de combustión al aire interior del edificio. Ahora bien, puede producirse un escape y reflujo de gases de combustión en aparatos defectuosos cuando la habitación está despresurizada debido a la confluencia de los sistemas de escape y a ciertas condiciones meteorológicas </w:t>
      </w:r>
      <w:r w:rsidRPr="008B43F6">
        <w:rPr>
          <w:rFonts w:cs="Arial"/>
        </w:rPr>
        <w:fldChar w:fldCharType="begin"/>
      </w:r>
      <w:r w:rsidR="00251C87">
        <w:rPr>
          <w:rFonts w:cs="Arial"/>
        </w:rPr>
        <w:instrText xml:space="preserve"> ADDIN EN.CITE &lt;EndNote&gt;&lt;Cite&gt;&lt;Author&gt;Solá&lt;/Author&gt;&lt;RecNum&gt;43&lt;/RecNum&gt;&lt;DisplayText&gt;[48]&lt;/DisplayText&gt;&lt;record&gt;&lt;rec-number&gt;43&lt;/rec-number&gt;&lt;foreign-keys&gt;&lt;key app="EN" db-id="w0w9edzzlxxfdgesvf359ft8wzxverspwaav"&gt;43&lt;/key&gt;&lt;/foreign-keys&gt;&lt;ref-type name="Encyclopedia"&gt;53&lt;/ref-type&gt;&lt;contributors&gt;&lt;authors&gt;&lt;author&gt;Xavier Guardino Solá&lt;/author&gt;&lt;/authors&gt;&lt;/contributors&gt;&lt;titles&gt;&lt;title&gt;Calidad del Aire Interior&lt;/title&gt;&lt;secondary-title&gt;Enciclopedia de Seguridad y Salud en el Trabajo&lt;/secondary-title&gt;&lt;/titles&gt;&lt;dates&gt;&lt;/dates&gt;&lt;urls&gt;&lt;related-urls&gt;&lt;url&gt;http://www.insht.es/InshtWeb/Contenidos/Documentacion/TextosOnline/EnciclopediaOIT/tomo2/44.pdf&lt;/url&gt;&lt;/related-urls&gt;&lt;/urls&gt;&lt;/record&gt;&lt;/Cite&gt;&lt;/EndNote&gt;</w:instrText>
      </w:r>
      <w:r w:rsidRPr="008B43F6">
        <w:rPr>
          <w:rFonts w:cs="Arial"/>
        </w:rPr>
        <w:fldChar w:fldCharType="separate"/>
      </w:r>
      <w:r w:rsidR="00251C87">
        <w:rPr>
          <w:rFonts w:cs="Arial"/>
          <w:noProof/>
        </w:rPr>
        <w:t>[</w:t>
      </w:r>
      <w:hyperlink w:anchor="_ENREF_48" w:tooltip="Solá,  #43" w:history="1">
        <w:r w:rsidR="00251C87">
          <w:rPr>
            <w:rFonts w:cs="Arial"/>
            <w:noProof/>
          </w:rPr>
          <w:t>48</w:t>
        </w:r>
      </w:hyperlink>
      <w:r w:rsidR="00251C87">
        <w:rPr>
          <w:rFonts w:cs="Arial"/>
          <w:noProof/>
        </w:rPr>
        <w:t>]</w:t>
      </w:r>
      <w:r w:rsidRPr="008B43F6">
        <w:rPr>
          <w:rFonts w:cs="Arial"/>
        </w:rPr>
        <w:fldChar w:fldCharType="end"/>
      </w:r>
      <w:r w:rsidRPr="008B43F6">
        <w:rPr>
          <w:rFonts w:cs="Arial"/>
        </w:rPr>
        <w:t xml:space="preserve"> .</w:t>
      </w:r>
    </w:p>
    <w:p w:rsidR="002C0CCF" w:rsidRPr="008B43F6" w:rsidRDefault="002C0CCF" w:rsidP="00C92E54">
      <w:pPr>
        <w:pStyle w:val="Prrafodelista"/>
        <w:numPr>
          <w:ilvl w:val="0"/>
          <w:numId w:val="22"/>
        </w:numPr>
        <w:rPr>
          <w:rFonts w:cs="Arial"/>
        </w:rPr>
      </w:pPr>
      <w:r w:rsidRPr="008B43F6">
        <w:rPr>
          <w:b/>
        </w:rPr>
        <w:t xml:space="preserve">Materiales empleados en la construcción </w:t>
      </w:r>
      <w:r w:rsidRPr="008B43F6">
        <w:rPr>
          <w:rFonts w:cs="Arial"/>
        </w:rPr>
        <w:t xml:space="preserve">Los materiales que más interés han despertado como fuentes de contaminación del aire interior han sido los tableros a base de madera que contienen resina de formaldehído ureico (FU) y los aislantes de paredes mediante una cámara de aire con FU </w:t>
      </w:r>
      <w:r w:rsidRPr="008B43F6">
        <w:rPr>
          <w:rFonts w:cs="Arial"/>
        </w:rPr>
        <w:fldChar w:fldCharType="begin"/>
      </w:r>
      <w:r w:rsidR="00251C87">
        <w:rPr>
          <w:rFonts w:cs="Arial"/>
        </w:rPr>
        <w:instrText xml:space="preserve"> ADDIN EN.CITE &lt;EndNote&gt;&lt;Cite&gt;&lt;Author&gt;Solá&lt;/Author&gt;&lt;RecNum&gt;43&lt;/RecNum&gt;&lt;DisplayText&gt;[48]&lt;/DisplayText&gt;&lt;record&gt;&lt;rec-number&gt;43&lt;/rec-number&gt;&lt;foreign-keys&gt;&lt;key app="EN" db-id="w0w9edzzlxxfdgesvf359ft8wzxverspwaav"&gt;43&lt;/key&gt;&lt;/foreign-keys&gt;&lt;ref-type name="Encyclopedia"&gt;53&lt;/ref-type&gt;&lt;contributors&gt;&lt;authors&gt;&lt;author&gt;Xavier Guardino Solá&lt;/author&gt;&lt;/authors&gt;&lt;/contributors&gt;&lt;titles&gt;&lt;title&gt;Calidad del Aire Interior&lt;/title&gt;&lt;secondary-title&gt;Enciclopedia de Seguridad y Salud en el Trabajo&lt;/secondary-title&gt;&lt;/titles&gt;&lt;dates&gt;&lt;/dates&gt;&lt;urls&gt;&lt;related-urls&gt;&lt;url&gt;http://www.insht.es/InshtWeb/Contenidos/Documentacion/TextosOnline/EnciclopediaOIT/tomo2/44.pdf&lt;/url&gt;&lt;/related-urls&gt;&lt;/urls&gt;&lt;/record&gt;&lt;/Cite&gt;&lt;/EndNote&gt;</w:instrText>
      </w:r>
      <w:r w:rsidRPr="008B43F6">
        <w:rPr>
          <w:rFonts w:cs="Arial"/>
        </w:rPr>
        <w:fldChar w:fldCharType="separate"/>
      </w:r>
      <w:r w:rsidR="00251C87">
        <w:rPr>
          <w:rFonts w:cs="Arial"/>
          <w:noProof/>
        </w:rPr>
        <w:t>[</w:t>
      </w:r>
      <w:hyperlink w:anchor="_ENREF_48" w:tooltip="Solá,  #43" w:history="1">
        <w:r w:rsidR="00251C87">
          <w:rPr>
            <w:rFonts w:cs="Arial"/>
            <w:noProof/>
          </w:rPr>
          <w:t>48</w:t>
        </w:r>
      </w:hyperlink>
      <w:r w:rsidR="00251C87">
        <w:rPr>
          <w:rFonts w:cs="Arial"/>
          <w:noProof/>
        </w:rPr>
        <w:t>]</w:t>
      </w:r>
      <w:r w:rsidRPr="008B43F6">
        <w:rPr>
          <w:rFonts w:cs="Arial"/>
        </w:rPr>
        <w:fldChar w:fldCharType="end"/>
      </w:r>
      <w:r w:rsidRPr="008B43F6">
        <w:rPr>
          <w:rFonts w:cs="Arial"/>
        </w:rPr>
        <w:t>.</w:t>
      </w:r>
    </w:p>
    <w:p w:rsidR="002C0CCF" w:rsidRPr="008B43F6" w:rsidRDefault="002C0CCF" w:rsidP="00C92E54">
      <w:pPr>
        <w:pStyle w:val="Prrafodelista"/>
        <w:numPr>
          <w:ilvl w:val="1"/>
          <w:numId w:val="22"/>
        </w:numPr>
        <w:rPr>
          <w:rFonts w:cs="HelveticaNeue-Roman"/>
        </w:rPr>
      </w:pPr>
      <w:r w:rsidRPr="008B43F6">
        <w:rPr>
          <w:rFonts w:cs="HelveticaNeue-Roman"/>
        </w:rPr>
        <w:t xml:space="preserve">La </w:t>
      </w:r>
      <w:r w:rsidRPr="008B43F6">
        <w:rPr>
          <w:rFonts w:cs="HelveticaNeue-Italic"/>
          <w:i/>
          <w:iCs/>
        </w:rPr>
        <w:t>fibra de vidrio</w:t>
      </w:r>
      <w:r w:rsidRPr="008B43F6">
        <w:rPr>
          <w:rFonts w:cs="HelveticaNeue-Roman"/>
        </w:rPr>
        <w:t xml:space="preserve"> está formada por material amorfo vidrioso. Se usa como aislante térmico en los sistemas de aire acondicionado, su instalación y utilización incorrecta, como la degradación de los materiales que la contienen, es uno de los peligros principales de la mala calidad del aire interior, y es una fuente potencial de enfermedades.</w:t>
      </w:r>
    </w:p>
    <w:p w:rsidR="002C0CCF" w:rsidRPr="008B43F6" w:rsidRDefault="002C0CCF" w:rsidP="00C92E54">
      <w:pPr>
        <w:pStyle w:val="Prrafodelista"/>
        <w:numPr>
          <w:ilvl w:val="1"/>
          <w:numId w:val="22"/>
        </w:numPr>
        <w:rPr>
          <w:rFonts w:cs="HelveticaNeue-Roman"/>
        </w:rPr>
      </w:pPr>
      <w:r w:rsidRPr="008B43F6">
        <w:rPr>
          <w:rFonts w:cs="HelveticaNeue-Roman"/>
        </w:rPr>
        <w:t xml:space="preserve">El </w:t>
      </w:r>
      <w:r w:rsidRPr="008B43F6">
        <w:rPr>
          <w:rFonts w:cs="HelveticaNeue-Italic"/>
          <w:i/>
          <w:iCs/>
        </w:rPr>
        <w:t xml:space="preserve">formaldehído </w:t>
      </w:r>
      <w:r w:rsidRPr="008B43F6">
        <w:rPr>
          <w:rFonts w:cs="HelveticaNeue-Roman"/>
        </w:rPr>
        <w:t xml:space="preserve">se emplea extensamente en la formulación de plásticos y como aislantes térmicos y barnices. Puede ocasionar irritación en las vías respiratorias y alergias y está considerado como una sustancia sospechosa de inducir procesos cancerígenos. </w:t>
      </w:r>
      <w:r w:rsidRPr="008B43F6">
        <w:rPr>
          <w:rFonts w:cs="Arial"/>
        </w:rPr>
        <w:t xml:space="preserve">El formaldehído que emiten estos productos eleva los niveles del mismo en los edificios, fenómeno que se ha asociado a numerosos casos de mala calidad del aire interior en países desarrollados. Las tasas más elevadas de emisión pueden estar asociadas a los objetos con base de madera y a los aislantes de paredes con FU, de uso muy común </w:t>
      </w:r>
      <w:r w:rsidRPr="008B43F6">
        <w:rPr>
          <w:rFonts w:cs="Arial"/>
        </w:rPr>
        <w:fldChar w:fldCharType="begin"/>
      </w:r>
      <w:r w:rsidR="00251C87">
        <w:rPr>
          <w:rFonts w:cs="Arial"/>
        </w:rPr>
        <w:instrText xml:space="preserve"> ADDIN EN.CITE &lt;EndNote&gt;&lt;Cite&gt;&lt;Author&gt;Solá&lt;/Author&gt;&lt;RecNum&gt;43&lt;/RecNum&gt;&lt;DisplayText&gt;[48]&lt;/DisplayText&gt;&lt;record&gt;&lt;rec-number&gt;43&lt;/rec-number&gt;&lt;foreign-keys&gt;&lt;key app="EN" db-id="w0w9edzzlxxfdgesvf359ft8wzxverspwaav"&gt;43&lt;/key&gt;&lt;/foreign-keys&gt;&lt;ref-type name="Encyclopedia"&gt;53&lt;/ref-type&gt;&lt;contributors&gt;&lt;authors&gt;&lt;author&gt;Xavier Guardino Solá&lt;/author&gt;&lt;/authors&gt;&lt;/contributors&gt;&lt;titles&gt;&lt;title&gt;Calidad del Aire Interior&lt;/title&gt;&lt;secondary-title&gt;Enciclopedia de Seguridad y Salud en el Trabajo&lt;/secondary-title&gt;&lt;/titles&gt;&lt;dates&gt;&lt;/dates&gt;&lt;urls&gt;&lt;related-urls&gt;&lt;url&gt;http://www.insht.es/InshtWeb/Contenidos/Documentacion/TextosOnline/EnciclopediaOIT/tomo2/44.pdf&lt;/url&gt;&lt;/related-urls&gt;&lt;/urls&gt;&lt;/record&gt;&lt;/Cite&gt;&lt;/EndNote&gt;</w:instrText>
      </w:r>
      <w:r w:rsidRPr="008B43F6">
        <w:rPr>
          <w:rFonts w:cs="Arial"/>
        </w:rPr>
        <w:fldChar w:fldCharType="separate"/>
      </w:r>
      <w:r w:rsidR="00251C87">
        <w:rPr>
          <w:rFonts w:cs="Arial"/>
          <w:noProof/>
        </w:rPr>
        <w:t>[</w:t>
      </w:r>
      <w:hyperlink w:anchor="_ENREF_48" w:tooltip="Solá,  #43" w:history="1">
        <w:r w:rsidR="00251C87">
          <w:rPr>
            <w:rFonts w:cs="Arial"/>
            <w:noProof/>
          </w:rPr>
          <w:t>48</w:t>
        </w:r>
      </w:hyperlink>
      <w:r w:rsidR="00251C87">
        <w:rPr>
          <w:rFonts w:cs="Arial"/>
          <w:noProof/>
        </w:rPr>
        <w:t>]</w:t>
      </w:r>
      <w:r w:rsidRPr="008B43F6">
        <w:rPr>
          <w:rFonts w:cs="Arial"/>
        </w:rPr>
        <w:fldChar w:fldCharType="end"/>
      </w:r>
      <w:r w:rsidRPr="008B43F6">
        <w:rPr>
          <w:rFonts w:cs="Arial"/>
        </w:rPr>
        <w:t>.</w:t>
      </w:r>
    </w:p>
    <w:p w:rsidR="002C0CCF" w:rsidRPr="008B43F6" w:rsidRDefault="002C0CCF" w:rsidP="00C92E54">
      <w:pPr>
        <w:pStyle w:val="Prrafodelista"/>
        <w:numPr>
          <w:ilvl w:val="1"/>
          <w:numId w:val="22"/>
        </w:numPr>
        <w:rPr>
          <w:rFonts w:cs="HelveticaNeue-Roman"/>
        </w:rPr>
      </w:pPr>
      <w:r w:rsidRPr="008B43F6">
        <w:rPr>
          <w:rFonts w:cs="HelveticaNeue-Roman"/>
        </w:rPr>
        <w:t xml:space="preserve">Los </w:t>
      </w:r>
      <w:r w:rsidRPr="008B43F6">
        <w:rPr>
          <w:rFonts w:cs="HelveticaNeue-Italic"/>
          <w:i/>
          <w:iCs/>
        </w:rPr>
        <w:t xml:space="preserve">disolventes </w:t>
      </w:r>
      <w:r w:rsidRPr="008B43F6">
        <w:rPr>
          <w:rFonts w:cs="HelveticaNeue-Roman"/>
        </w:rPr>
        <w:t>son otro material de construcción que puede ser fuente de contaminación por generación de compuestos químicos en el aire del interior de un edificio como los muebles y elementos de decoración de madera y caucho, los agentes sellantes, colas, barnices y materiales textiles.</w:t>
      </w:r>
    </w:p>
    <w:p w:rsidR="002C0CCF" w:rsidRPr="008B43F6" w:rsidRDefault="002C0CCF" w:rsidP="00C92E54">
      <w:pPr>
        <w:pStyle w:val="Prrafodelista"/>
        <w:numPr>
          <w:ilvl w:val="0"/>
          <w:numId w:val="22"/>
        </w:numPr>
        <w:rPr>
          <w:b/>
        </w:rPr>
      </w:pPr>
      <w:r w:rsidRPr="008B43F6">
        <w:rPr>
          <w:b/>
        </w:rPr>
        <w:t xml:space="preserve">Humo de tabaco ambiental </w:t>
      </w:r>
      <w:r w:rsidRPr="008B43F6">
        <w:t>La contaminación del aire interior por el humo de tabaco procede del flujo lateral y del flujo principal de humo exhalado, y generalmente recibe el nombre de humo de tabaco ambiental (HTA). Se han identificado varios millares de componentes diferentes del humo del tabaco, cuyas cantidades individuales varían en función del tipo de cigarrillo y de las condiciones de producción de humo. Los principales compuestos químicos asociados al HTA son: nicotina, nitrosaminas, HPA, CO, CO</w:t>
      </w:r>
      <w:r w:rsidRPr="008B43F6">
        <w:rPr>
          <w:vertAlign w:val="subscript"/>
        </w:rPr>
        <w:t>2</w:t>
      </w:r>
      <w:r w:rsidRPr="008B43F6">
        <w:t>, NO</w:t>
      </w:r>
      <w:r w:rsidRPr="008B43F6">
        <w:rPr>
          <w:vertAlign w:val="subscript"/>
        </w:rPr>
        <w:t>x</w:t>
      </w:r>
      <w:r w:rsidRPr="008B43F6">
        <w:t>, acroleína, formaldehído y cianuro de hidrógeno.</w:t>
      </w:r>
    </w:p>
    <w:p w:rsidR="002C0CCF" w:rsidRPr="008B43F6" w:rsidRDefault="002C0CCF" w:rsidP="00C92E54">
      <w:pPr>
        <w:pStyle w:val="Prrafodelista"/>
        <w:numPr>
          <w:ilvl w:val="0"/>
          <w:numId w:val="22"/>
        </w:numPr>
        <w:rPr>
          <w:b/>
        </w:rPr>
      </w:pPr>
      <w:r w:rsidRPr="008B43F6">
        <w:rPr>
          <w:rFonts w:cs="Times New Roman"/>
          <w:b/>
          <w:bCs/>
          <w:iCs/>
        </w:rPr>
        <w:lastRenderedPageBreak/>
        <w:t>Productos de consumo y otras fuentes de contaminación interior</w:t>
      </w:r>
      <w:r w:rsidRPr="008B43F6">
        <w:rPr>
          <w:rFonts w:cs="Times New Roman"/>
          <w:b/>
          <w:bCs/>
          <w:i/>
          <w:iCs/>
        </w:rPr>
        <w:t xml:space="preserve"> </w:t>
      </w:r>
      <w:r w:rsidRPr="008B43F6">
        <w:rPr>
          <w:rFonts w:cs="Arial"/>
        </w:rPr>
        <w:t xml:space="preserve">La diversidad y número de productos de consumo y domésticos varía constantemente, y sus emisiones químicas dependen de cómo se utilizan. Entre los productos que pueden influir en los niveles de COV en el interior se encuentran los aerosoles, los artículos de higiene personal, los disolventes, los adhesivos y las pinturas </w:t>
      </w:r>
      <w:r w:rsidRPr="008B43F6">
        <w:rPr>
          <w:rFonts w:cs="Arial"/>
        </w:rPr>
        <w:fldChar w:fldCharType="begin"/>
      </w:r>
      <w:r w:rsidR="00251C87">
        <w:rPr>
          <w:rFonts w:cs="Arial"/>
        </w:rPr>
        <w:instrText xml:space="preserve"> ADDIN EN.CITE &lt;EndNote&gt;&lt;Cite&gt;&lt;Author&gt;Solá&lt;/Author&gt;&lt;RecNum&gt;43&lt;/RecNum&gt;&lt;DisplayText&gt;[48]&lt;/DisplayText&gt;&lt;record&gt;&lt;rec-number&gt;43&lt;/rec-number&gt;&lt;foreign-keys&gt;&lt;key app="EN" db-id="w0w9edzzlxxfdgesvf359ft8wzxverspwaav"&gt;43&lt;/key&gt;&lt;/foreign-keys&gt;&lt;ref-type name="Encyclopedia"&gt;53&lt;/ref-type&gt;&lt;contributors&gt;&lt;authors&gt;&lt;author&gt;Xavier Guardino Solá&lt;/author&gt;&lt;/authors&gt;&lt;/contributors&gt;&lt;titles&gt;&lt;title&gt;Calidad del Aire Interior&lt;/title&gt;&lt;secondary-title&gt;Enciclopedia de Seguridad y Salud en el Trabajo&lt;/secondary-title&gt;&lt;/titles&gt;&lt;dates&gt;&lt;/dates&gt;&lt;urls&gt;&lt;related-urls&gt;&lt;url&gt;http://www.insht.es/InshtWeb/Contenidos/Documentacion/TextosOnline/EnciclopediaOIT/tomo2/44.pdf&lt;/url&gt;&lt;/related-urls&gt;&lt;/urls&gt;&lt;/record&gt;&lt;/Cite&gt;&lt;/EndNote&gt;</w:instrText>
      </w:r>
      <w:r w:rsidRPr="008B43F6">
        <w:rPr>
          <w:rFonts w:cs="Arial"/>
        </w:rPr>
        <w:fldChar w:fldCharType="separate"/>
      </w:r>
      <w:r w:rsidR="00251C87">
        <w:rPr>
          <w:rFonts w:cs="Arial"/>
          <w:noProof/>
        </w:rPr>
        <w:t>[</w:t>
      </w:r>
      <w:hyperlink w:anchor="_ENREF_48" w:tooltip="Solá,  #43" w:history="1">
        <w:r w:rsidR="00251C87">
          <w:rPr>
            <w:rFonts w:cs="Arial"/>
            <w:noProof/>
          </w:rPr>
          <w:t>48</w:t>
        </w:r>
      </w:hyperlink>
      <w:r w:rsidR="00251C87">
        <w:rPr>
          <w:rFonts w:cs="Arial"/>
          <w:noProof/>
        </w:rPr>
        <w:t>]</w:t>
      </w:r>
      <w:r w:rsidRPr="008B43F6">
        <w:rPr>
          <w:rFonts w:cs="Arial"/>
        </w:rPr>
        <w:fldChar w:fldCharType="end"/>
      </w:r>
      <w:r w:rsidRPr="008B43F6">
        <w:rPr>
          <w:rFonts w:cs="Arial"/>
        </w:rPr>
        <w:t xml:space="preserve">. </w:t>
      </w:r>
      <w:r w:rsidRPr="008B43F6">
        <w:rPr>
          <w:rFonts w:cs="Arial"/>
        </w:rPr>
        <w:tab/>
      </w:r>
    </w:p>
    <w:p w:rsidR="002C0CCF" w:rsidRPr="008B43F6" w:rsidRDefault="002C0CCF" w:rsidP="00C92E54">
      <w:pPr>
        <w:rPr>
          <w:rFonts w:cs="HelveticaNeue-Roman"/>
        </w:rPr>
      </w:pPr>
      <w:r w:rsidRPr="008B43F6">
        <w:rPr>
          <w:bCs/>
          <w:spacing w:val="-3"/>
          <w:lang w:val="es-ES_tradnl"/>
        </w:rPr>
        <w:t xml:space="preserve">Las concentraciones de contaminantes generados principalmente por fuentes de combustión están sometidas a grandes variaciones temporales y tienen un carácter intermitente. Las liberaciones esporádicas de compuestos orgánicos volátiles debidas a actividades humanas como la pintura, también varían enormemente con el tiempo. Otras emisiones, como la liberación de formaldehído a partir de productos con base de madera, varían con los cambios de temperatura y de humedad del edificio, pero tienen un carácter continuo. La emisión de compuestos químicos orgánicos a partir de otros materiales puede depender menos de las condiciones de temperatura y humedad, pero sus concentraciones en el aire interior dependerán en gran medida de las condiciones de ventilación. Las variaciones espaciales dentro de una habitación suelen ser menos pronunciadas que las temporales. Dentro de un edificio puede haber grandes diferencias por lo que se refiere a fuentes localizadas </w:t>
      </w:r>
      <w:r w:rsidRPr="008B43F6">
        <w:rPr>
          <w:rFonts w:cs="Arial"/>
        </w:rPr>
        <w:fldChar w:fldCharType="begin"/>
      </w:r>
      <w:r w:rsidR="00251C87">
        <w:rPr>
          <w:rFonts w:cs="Arial"/>
        </w:rPr>
        <w:instrText xml:space="preserve"> ADDIN EN.CITE &lt;EndNote&gt;&lt;Cite&gt;&lt;Author&gt;Solá&lt;/Author&gt;&lt;RecNum&gt;43&lt;/RecNum&gt;&lt;DisplayText&gt;[48]&lt;/DisplayText&gt;&lt;record&gt;&lt;rec-number&gt;43&lt;/rec-number&gt;&lt;foreign-keys&gt;&lt;key app="EN" db-id="w0w9edzzlxxfdgesvf359ft8wzxverspwaav"&gt;43&lt;/key&gt;&lt;/foreign-keys&gt;&lt;ref-type name="Encyclopedia"&gt;53&lt;/ref-type&gt;&lt;contributors&gt;&lt;authors&gt;&lt;author&gt;Xavier Guardino Solá&lt;/author&gt;&lt;/authors&gt;&lt;/contributors&gt;&lt;titles&gt;&lt;title&gt;Calidad del Aire Interior&lt;/title&gt;&lt;secondary-title&gt;Enciclopedia de Seguridad y Salud en el Trabajo&lt;/secondary-title&gt;&lt;/titles&gt;&lt;dates&gt;&lt;/dates&gt;&lt;urls&gt;&lt;related-urls&gt;&lt;url&gt;http://www.insht.es/InshtWeb/Contenidos/Documentacion/TextosOnline/EnciclopediaOIT/tomo2/44.pdf&lt;/url&gt;&lt;/related-urls&gt;&lt;/urls&gt;&lt;/record&gt;&lt;/Cite&gt;&lt;/EndNote&gt;</w:instrText>
      </w:r>
      <w:r w:rsidRPr="008B43F6">
        <w:rPr>
          <w:rFonts w:cs="Arial"/>
        </w:rPr>
        <w:fldChar w:fldCharType="separate"/>
      </w:r>
      <w:r w:rsidR="00251C87">
        <w:rPr>
          <w:rFonts w:cs="Arial"/>
          <w:noProof/>
        </w:rPr>
        <w:t>[</w:t>
      </w:r>
      <w:hyperlink w:anchor="_ENREF_48" w:tooltip="Solá,  #43" w:history="1">
        <w:r w:rsidR="00251C87">
          <w:rPr>
            <w:rFonts w:cs="Arial"/>
            <w:noProof/>
          </w:rPr>
          <w:t>48</w:t>
        </w:r>
      </w:hyperlink>
      <w:r w:rsidR="00251C87">
        <w:rPr>
          <w:rFonts w:cs="Arial"/>
          <w:noProof/>
        </w:rPr>
        <w:t>]</w:t>
      </w:r>
      <w:r w:rsidRPr="008B43F6">
        <w:rPr>
          <w:rFonts w:cs="Arial"/>
        </w:rPr>
        <w:fldChar w:fldCharType="end"/>
      </w:r>
    </w:p>
    <w:p w:rsidR="002C0CCF" w:rsidRPr="008B43F6" w:rsidRDefault="002C0CCF" w:rsidP="00C92E54">
      <w:pPr>
        <w:rPr>
          <w:b/>
          <w:sz w:val="24"/>
        </w:rPr>
      </w:pPr>
      <w:bookmarkStart w:id="112" w:name="_Toc347629463"/>
      <w:r w:rsidRPr="008B43F6">
        <w:rPr>
          <w:b/>
          <w:sz w:val="24"/>
        </w:rPr>
        <w:t>Contaminantes químicos característicos</w:t>
      </w:r>
      <w:bookmarkEnd w:id="112"/>
      <w:r w:rsidRPr="008B43F6">
        <w:rPr>
          <w:b/>
          <w:sz w:val="24"/>
        </w:rPr>
        <w:t xml:space="preserve"> en interiores</w:t>
      </w:r>
    </w:p>
    <w:p w:rsidR="002C0CCF" w:rsidRPr="008B43F6" w:rsidRDefault="002C0CCF" w:rsidP="00C92E54">
      <w:pPr>
        <w:rPr>
          <w:rFonts w:cs="Arial"/>
        </w:rPr>
      </w:pPr>
      <w:r w:rsidRPr="008B43F6">
        <w:rPr>
          <w:rFonts w:cs="Arial"/>
        </w:rPr>
        <w:t xml:space="preserve">Los contaminantes químicos del aire interior pueden tomar forma de gases y vapores (inorgánicos y orgánicos) y de partículas, y pueden haber penetrado al interior desde el ambiente exterior o bien haberse formado dentro del edificio. La importancia relativa del origen interior o exterior varía según los distintos contaminantes y en función del tiempo </w:t>
      </w:r>
      <w:r w:rsidRPr="008B43F6">
        <w:rPr>
          <w:rFonts w:cs="Arial"/>
        </w:rPr>
        <w:fldChar w:fldCharType="begin"/>
      </w:r>
      <w:r w:rsidR="00251C87">
        <w:rPr>
          <w:rFonts w:cs="Arial"/>
        </w:rPr>
        <w:instrText xml:space="preserve"> ADDIN EN.CITE &lt;EndNote&gt;&lt;Cite&gt;&lt;Author&gt;Solá&lt;/Author&gt;&lt;RecNum&gt;43&lt;/RecNum&gt;&lt;DisplayText&gt;[48]&lt;/DisplayText&gt;&lt;record&gt;&lt;rec-number&gt;43&lt;/rec-number&gt;&lt;foreign-keys&gt;&lt;key app="EN" db-id="w0w9edzzlxxfdgesvf359ft8wzxverspwaav"&gt;43&lt;/key&gt;&lt;/foreign-keys&gt;&lt;ref-type name="Encyclopedia"&gt;53&lt;/ref-type&gt;&lt;contributors&gt;&lt;authors&gt;&lt;author&gt;Xavier Guardino Solá&lt;/author&gt;&lt;/authors&gt;&lt;/contributors&gt;&lt;titles&gt;&lt;title&gt;Calidad del Aire Interior&lt;/title&gt;&lt;secondary-title&gt;Enciclopedia de Seguridad y Salud en el Trabajo&lt;/secondary-title&gt;&lt;/titles&gt;&lt;dates&gt;&lt;/dates&gt;&lt;urls&gt;&lt;related-urls&gt;&lt;url&gt;http://www.insht.es/InshtWeb/Contenidos/Documentacion/TextosOnline/EnciclopediaOIT/tomo2/44.pdf&lt;/url&gt;&lt;/related-urls&gt;&lt;/urls&gt;&lt;/record&gt;&lt;/Cite&gt;&lt;/EndNote&gt;</w:instrText>
      </w:r>
      <w:r w:rsidRPr="008B43F6">
        <w:rPr>
          <w:rFonts w:cs="Arial"/>
        </w:rPr>
        <w:fldChar w:fldCharType="separate"/>
      </w:r>
      <w:r w:rsidR="00251C87">
        <w:rPr>
          <w:rFonts w:cs="Arial"/>
          <w:noProof/>
        </w:rPr>
        <w:t>[</w:t>
      </w:r>
      <w:hyperlink w:anchor="_ENREF_48" w:tooltip="Solá,  #43" w:history="1">
        <w:r w:rsidR="00251C87">
          <w:rPr>
            <w:rFonts w:cs="Arial"/>
            <w:noProof/>
          </w:rPr>
          <w:t>48</w:t>
        </w:r>
      </w:hyperlink>
      <w:r w:rsidR="00251C87">
        <w:rPr>
          <w:rFonts w:cs="Arial"/>
          <w:noProof/>
        </w:rPr>
        <w:t>]</w:t>
      </w:r>
      <w:r w:rsidRPr="008B43F6">
        <w:rPr>
          <w:rFonts w:cs="Arial"/>
        </w:rPr>
        <w:fldChar w:fldCharType="end"/>
      </w:r>
      <w:r w:rsidRPr="008B43F6">
        <w:rPr>
          <w:rFonts w:cs="Arial"/>
        </w:rPr>
        <w:t>. Algunos de los más comunes son:</w:t>
      </w:r>
    </w:p>
    <w:p w:rsidR="002C0CCF" w:rsidRPr="008B43F6" w:rsidRDefault="002C0CCF" w:rsidP="00C92E54">
      <w:pPr>
        <w:pStyle w:val="Prrafodelista"/>
        <w:numPr>
          <w:ilvl w:val="0"/>
          <w:numId w:val="23"/>
        </w:numPr>
        <w:rPr>
          <w:rFonts w:cs="Arial"/>
        </w:rPr>
      </w:pPr>
      <w:r w:rsidRPr="008B43F6">
        <w:rPr>
          <w:rFonts w:cs="Arial"/>
        </w:rPr>
        <w:t>Dióxido de carbono (CO</w:t>
      </w:r>
      <w:r w:rsidRPr="008B43F6">
        <w:rPr>
          <w:rFonts w:cs="Arial"/>
          <w:vertAlign w:val="subscript"/>
        </w:rPr>
        <w:t>2</w:t>
      </w:r>
      <w:r w:rsidRPr="008B43F6">
        <w:rPr>
          <w:rFonts w:cs="Arial"/>
        </w:rPr>
        <w:t>). Producto metabólico que se utiliza a menudo como indicador del nivel general de contaminación del aire en relación con la presencia de seres humanos en el interior.</w:t>
      </w:r>
    </w:p>
    <w:p w:rsidR="002C0CCF" w:rsidRPr="008B43F6" w:rsidRDefault="002C0CCF" w:rsidP="00C92E54">
      <w:pPr>
        <w:pStyle w:val="Prrafodelista"/>
        <w:numPr>
          <w:ilvl w:val="0"/>
          <w:numId w:val="23"/>
        </w:numPr>
        <w:rPr>
          <w:rFonts w:cs="Arial"/>
        </w:rPr>
      </w:pPr>
      <w:r w:rsidRPr="008B43F6">
        <w:rPr>
          <w:rFonts w:cs="Arial"/>
        </w:rPr>
        <w:t>Monóxido de carbono (CO), óxidos de nitrógeno (NO</w:t>
      </w:r>
      <w:r w:rsidRPr="008B43F6">
        <w:rPr>
          <w:rFonts w:cs="Arial"/>
          <w:vertAlign w:val="subscript"/>
        </w:rPr>
        <w:t>x</w:t>
      </w:r>
      <w:r w:rsidRPr="008B43F6">
        <w:rPr>
          <w:rFonts w:cs="Arial"/>
        </w:rPr>
        <w:t>) y dióxido de azufre (SO</w:t>
      </w:r>
      <w:r w:rsidRPr="008B43F6">
        <w:rPr>
          <w:rFonts w:cs="Arial"/>
          <w:vertAlign w:val="subscript"/>
        </w:rPr>
        <w:t>2</w:t>
      </w:r>
      <w:r w:rsidRPr="008B43F6">
        <w:rPr>
          <w:rFonts w:cs="Arial"/>
        </w:rPr>
        <w:t xml:space="preserve">). </w:t>
      </w:r>
    </w:p>
    <w:p w:rsidR="002C0CCF" w:rsidRPr="008B43F6" w:rsidRDefault="002C0CCF" w:rsidP="00C92E54">
      <w:pPr>
        <w:pStyle w:val="Prrafodelista"/>
        <w:numPr>
          <w:ilvl w:val="0"/>
          <w:numId w:val="23"/>
        </w:numPr>
        <w:rPr>
          <w:rFonts w:cs="Arial"/>
        </w:rPr>
      </w:pPr>
      <w:r w:rsidRPr="008B43F6">
        <w:rPr>
          <w:rFonts w:cs="Arial"/>
        </w:rPr>
        <w:t>Gases de combustión inorgánicos formados fundamentalmente durante la combustión de combustibles y de ozono (O</w:t>
      </w:r>
      <w:r w:rsidRPr="008B43F6">
        <w:rPr>
          <w:rFonts w:cs="Arial"/>
          <w:vertAlign w:val="subscript"/>
        </w:rPr>
        <w:t>3</w:t>
      </w:r>
      <w:r w:rsidRPr="008B43F6">
        <w:rPr>
          <w:rFonts w:cs="Arial"/>
        </w:rPr>
        <w:t>), producto de reacciones fotoquímicas en atmósferas contaminadas aunque también puede ser liberado por algunas fuentes de interiores.</w:t>
      </w:r>
    </w:p>
    <w:p w:rsidR="002C0CCF" w:rsidRPr="008B43F6" w:rsidRDefault="002C0CCF" w:rsidP="00C92E54">
      <w:pPr>
        <w:pStyle w:val="Prrafodelista"/>
        <w:numPr>
          <w:ilvl w:val="0"/>
          <w:numId w:val="23"/>
        </w:numPr>
        <w:rPr>
          <w:bCs/>
          <w:spacing w:val="-3"/>
          <w:lang w:val="es-ES"/>
        </w:rPr>
      </w:pPr>
      <w:r w:rsidRPr="008B43F6">
        <w:rPr>
          <w:rFonts w:cs="Arial"/>
        </w:rPr>
        <w:t xml:space="preserve">Compuestos orgánicos volátiles (VOCs). Se emiten </w:t>
      </w:r>
      <w:r w:rsidRPr="008B43F6">
        <w:t>como gases</w:t>
      </w:r>
      <w:r w:rsidRPr="008B43F6">
        <w:rPr>
          <w:rFonts w:cs="Arial"/>
        </w:rPr>
        <w:t xml:space="preserve"> </w:t>
      </w:r>
      <w:r w:rsidRPr="008B43F6">
        <w:t>de</w:t>
      </w:r>
      <w:r w:rsidRPr="008B43F6">
        <w:rPr>
          <w:rFonts w:cs="Arial"/>
        </w:rPr>
        <w:t xml:space="preserve"> </w:t>
      </w:r>
      <w:r w:rsidRPr="008B43F6">
        <w:t>ciertos sólidos o líquidos</w:t>
      </w:r>
      <w:r w:rsidRPr="008B43F6">
        <w:rPr>
          <w:rFonts w:cs="Arial"/>
        </w:rPr>
        <w:t xml:space="preserve">. </w:t>
      </w:r>
      <w:r w:rsidRPr="008B43F6">
        <w:t>Las concentraciones de</w:t>
      </w:r>
      <w:r w:rsidRPr="008B43F6">
        <w:rPr>
          <w:rFonts w:cs="Arial"/>
        </w:rPr>
        <w:t xml:space="preserve"> </w:t>
      </w:r>
      <w:r w:rsidRPr="008B43F6">
        <w:t>VOCs</w:t>
      </w:r>
      <w:r w:rsidRPr="008B43F6">
        <w:rPr>
          <w:rFonts w:cs="Arial"/>
        </w:rPr>
        <w:t xml:space="preserve"> </w:t>
      </w:r>
      <w:r w:rsidRPr="008B43F6">
        <w:t>son consistentemente</w:t>
      </w:r>
      <w:r w:rsidRPr="008B43F6">
        <w:rPr>
          <w:rFonts w:cs="Arial"/>
        </w:rPr>
        <w:t xml:space="preserve"> mucho </w:t>
      </w:r>
      <w:r w:rsidRPr="008B43F6">
        <w:t>más altas</w:t>
      </w:r>
      <w:r w:rsidRPr="008B43F6">
        <w:rPr>
          <w:rFonts w:cs="Arial"/>
        </w:rPr>
        <w:t xml:space="preserve"> </w:t>
      </w:r>
      <w:r w:rsidRPr="008B43F6">
        <w:t>en interiores (</w:t>
      </w:r>
      <w:r w:rsidRPr="008B43F6">
        <w:rPr>
          <w:rFonts w:cs="Arial"/>
        </w:rPr>
        <w:t xml:space="preserve">hasta diez </w:t>
      </w:r>
      <w:r w:rsidRPr="008B43F6">
        <w:t>veces</w:t>
      </w:r>
      <w:r w:rsidRPr="008B43F6">
        <w:rPr>
          <w:rFonts w:cs="Arial"/>
        </w:rPr>
        <w:t xml:space="preserve"> </w:t>
      </w:r>
      <w:r w:rsidRPr="008B43F6">
        <w:t>más)</w:t>
      </w:r>
      <w:r w:rsidRPr="008B43F6">
        <w:rPr>
          <w:rFonts w:cs="Arial"/>
        </w:rPr>
        <w:t xml:space="preserve"> </w:t>
      </w:r>
      <w:r w:rsidRPr="008B43F6">
        <w:t>que en el exterior</w:t>
      </w:r>
      <w:r w:rsidRPr="008B43F6">
        <w:rPr>
          <w:rFonts w:cs="Arial"/>
        </w:rPr>
        <w:t xml:space="preserve">. Los </w:t>
      </w:r>
      <w:r w:rsidRPr="008B43F6">
        <w:t>VOCs</w:t>
      </w:r>
      <w:r w:rsidRPr="008B43F6">
        <w:rPr>
          <w:rFonts w:cs="Arial"/>
        </w:rPr>
        <w:t xml:space="preserve"> </w:t>
      </w:r>
      <w:r w:rsidRPr="008B43F6">
        <w:t>son emitidos</w:t>
      </w:r>
      <w:r w:rsidRPr="008B43F6">
        <w:rPr>
          <w:rFonts w:cs="Arial"/>
        </w:rPr>
        <w:t xml:space="preserve"> </w:t>
      </w:r>
      <w:r w:rsidRPr="008B43F6">
        <w:t>por una amplia</w:t>
      </w:r>
      <w:r w:rsidRPr="008B43F6">
        <w:rPr>
          <w:rFonts w:cs="Arial"/>
        </w:rPr>
        <w:t xml:space="preserve"> </w:t>
      </w:r>
      <w:r w:rsidRPr="008B43F6">
        <w:t>gama de productos</w:t>
      </w:r>
      <w:r w:rsidRPr="008B43F6">
        <w:rPr>
          <w:rFonts w:cs="Arial"/>
        </w:rPr>
        <w:t xml:space="preserve">. </w:t>
      </w:r>
      <w:r w:rsidRPr="008B43F6">
        <w:t>Los ejemplos incluyen:</w:t>
      </w:r>
      <w:r w:rsidRPr="008B43F6">
        <w:rPr>
          <w:rFonts w:cs="Arial"/>
        </w:rPr>
        <w:t xml:space="preserve"> </w:t>
      </w:r>
      <w:r w:rsidRPr="008B43F6">
        <w:t>pinturas y lacas</w:t>
      </w:r>
      <w:r w:rsidRPr="008B43F6">
        <w:rPr>
          <w:rFonts w:cs="Arial"/>
        </w:rPr>
        <w:t xml:space="preserve">, decapantes, productos de limpieza, pesticidas, materiales de </w:t>
      </w:r>
      <w:r w:rsidRPr="008B43F6">
        <w:t>construcción y muebles</w:t>
      </w:r>
      <w:r w:rsidRPr="008B43F6">
        <w:rPr>
          <w:rFonts w:cs="Arial"/>
        </w:rPr>
        <w:t xml:space="preserve">, equipo de oficina, como copiadoras </w:t>
      </w:r>
      <w:r w:rsidRPr="008B43F6">
        <w:t>e impresoras,</w:t>
      </w:r>
      <w:r w:rsidRPr="008B43F6">
        <w:rPr>
          <w:rFonts w:cs="Arial"/>
        </w:rPr>
        <w:t xml:space="preserve"> </w:t>
      </w:r>
      <w:r w:rsidRPr="008B43F6">
        <w:t>líquidos correctores</w:t>
      </w:r>
      <w:r w:rsidRPr="008B43F6">
        <w:rPr>
          <w:rFonts w:cs="Arial"/>
        </w:rPr>
        <w:t xml:space="preserve"> </w:t>
      </w:r>
      <w:r w:rsidRPr="008B43F6">
        <w:t>y papel de copia</w:t>
      </w:r>
      <w:r w:rsidRPr="008B43F6">
        <w:rPr>
          <w:rFonts w:cs="Arial"/>
        </w:rPr>
        <w:t xml:space="preserve"> </w:t>
      </w:r>
      <w:r w:rsidRPr="008B43F6">
        <w:t>sin carbón</w:t>
      </w:r>
      <w:r w:rsidRPr="008B43F6">
        <w:rPr>
          <w:rFonts w:cs="Arial"/>
        </w:rPr>
        <w:t xml:space="preserve">, gráficos y </w:t>
      </w:r>
      <w:r w:rsidRPr="008B43F6">
        <w:t>materiales de manualidades</w:t>
      </w:r>
      <w:r w:rsidRPr="008B43F6">
        <w:rPr>
          <w:rFonts w:cs="Arial"/>
        </w:rPr>
        <w:t xml:space="preserve"> </w:t>
      </w:r>
      <w:r w:rsidRPr="008B43F6">
        <w:t>incluidos pegamentos</w:t>
      </w:r>
      <w:r w:rsidRPr="008B43F6">
        <w:rPr>
          <w:rFonts w:cs="Arial"/>
        </w:rPr>
        <w:t xml:space="preserve"> </w:t>
      </w:r>
      <w:r w:rsidRPr="008B43F6">
        <w:t>y adhesivos</w:t>
      </w:r>
      <w:r w:rsidRPr="008B43F6">
        <w:rPr>
          <w:rFonts w:cs="Arial"/>
        </w:rPr>
        <w:t xml:space="preserve">, marcadores permanentes </w:t>
      </w:r>
      <w:r w:rsidRPr="008B43F6">
        <w:t>y soluciones</w:t>
      </w:r>
      <w:r w:rsidRPr="008B43F6">
        <w:rPr>
          <w:rFonts w:cs="Arial"/>
        </w:rPr>
        <w:t xml:space="preserve"> </w:t>
      </w:r>
      <w:r w:rsidRPr="008B43F6">
        <w:t>fotográficas</w:t>
      </w:r>
      <w:r w:rsidRPr="008B43F6">
        <w:rPr>
          <w:rFonts w:cs="Arial"/>
        </w:rPr>
        <w:t xml:space="preserve"> </w:t>
      </w:r>
      <w:r w:rsidRPr="008B43F6">
        <w:t>.</w:t>
      </w:r>
      <w:r w:rsidRPr="008B43F6">
        <w:rPr>
          <w:rFonts w:cs="Arial"/>
        </w:rPr>
        <w:t xml:space="preserve"> L</w:t>
      </w:r>
      <w:r w:rsidRPr="008B43F6">
        <w:t>os VOC afectan a los ojos</w:t>
      </w:r>
      <w:r w:rsidRPr="008B43F6">
        <w:rPr>
          <w:rFonts w:cs="Arial"/>
        </w:rPr>
        <w:t xml:space="preserve">, la nariz </w:t>
      </w:r>
      <w:r w:rsidRPr="008B43F6">
        <w:t>y la garganta</w:t>
      </w:r>
      <w:r w:rsidRPr="008B43F6">
        <w:rPr>
          <w:rFonts w:cs="Arial"/>
        </w:rPr>
        <w:t xml:space="preserve">, provocan dolores de cabeza, pérdida de coordinación, náusea, y daño </w:t>
      </w:r>
      <w:r w:rsidRPr="008B43F6">
        <w:t>al hígado</w:t>
      </w:r>
      <w:r w:rsidRPr="008B43F6">
        <w:rPr>
          <w:rFonts w:cs="Arial"/>
        </w:rPr>
        <w:t xml:space="preserve">, los riñones </w:t>
      </w:r>
      <w:r w:rsidRPr="008B43F6">
        <w:t>y al sistema nervioso</w:t>
      </w:r>
      <w:r w:rsidRPr="008B43F6">
        <w:rPr>
          <w:rFonts w:cs="Arial"/>
        </w:rPr>
        <w:t xml:space="preserve"> </w:t>
      </w:r>
      <w:r w:rsidRPr="008B43F6">
        <w:t>central.</w:t>
      </w:r>
      <w:r w:rsidRPr="008B43F6">
        <w:rPr>
          <w:rFonts w:cs="Arial"/>
        </w:rPr>
        <w:t xml:space="preserve"> </w:t>
      </w:r>
      <w:r w:rsidRPr="008B43F6">
        <w:t>Algunas</w:t>
      </w:r>
      <w:r w:rsidRPr="008B43F6">
        <w:rPr>
          <w:rFonts w:cs="Arial"/>
        </w:rPr>
        <w:t xml:space="preserve"> </w:t>
      </w:r>
      <w:r w:rsidRPr="008B43F6">
        <w:t>sustancias orgánicas</w:t>
      </w:r>
      <w:r w:rsidRPr="008B43F6">
        <w:rPr>
          <w:rFonts w:cs="Arial"/>
        </w:rPr>
        <w:t xml:space="preserve"> </w:t>
      </w:r>
      <w:r w:rsidRPr="008B43F6">
        <w:t>pueden causar</w:t>
      </w:r>
      <w:r w:rsidRPr="008B43F6">
        <w:rPr>
          <w:rFonts w:cs="Arial"/>
        </w:rPr>
        <w:t xml:space="preserve"> </w:t>
      </w:r>
      <w:r w:rsidRPr="008B43F6">
        <w:t>cáncer en animales</w:t>
      </w:r>
      <w:r w:rsidRPr="008B43F6">
        <w:rPr>
          <w:rFonts w:cs="Arial"/>
        </w:rPr>
        <w:t xml:space="preserve">, algunos </w:t>
      </w:r>
      <w:r w:rsidRPr="008B43F6">
        <w:t>se sospecha</w:t>
      </w:r>
      <w:r w:rsidRPr="008B43F6">
        <w:rPr>
          <w:rFonts w:cs="Arial"/>
        </w:rPr>
        <w:t xml:space="preserve"> </w:t>
      </w:r>
      <w:r w:rsidRPr="008B43F6">
        <w:t>o se sabe que</w:t>
      </w:r>
      <w:r w:rsidRPr="008B43F6">
        <w:rPr>
          <w:rFonts w:cs="Arial"/>
        </w:rPr>
        <w:t xml:space="preserve"> </w:t>
      </w:r>
      <w:r w:rsidRPr="008B43F6">
        <w:t>causan cáncer en</w:t>
      </w:r>
      <w:r w:rsidRPr="008B43F6">
        <w:rPr>
          <w:rFonts w:cs="Arial"/>
        </w:rPr>
        <w:t xml:space="preserve"> </w:t>
      </w:r>
      <w:r w:rsidRPr="008B43F6">
        <w:t>los seres humanos.</w:t>
      </w:r>
      <w:r w:rsidRPr="008B43F6">
        <w:rPr>
          <w:rFonts w:cs="Arial"/>
        </w:rPr>
        <w:t xml:space="preserve"> </w:t>
      </w:r>
    </w:p>
    <w:p w:rsidR="002C0CCF" w:rsidRPr="008B43F6" w:rsidRDefault="002C0CCF" w:rsidP="00C92E54">
      <w:pPr>
        <w:rPr>
          <w:b/>
          <w:color w:val="4F81BD" w:themeColor="accent1"/>
        </w:rPr>
      </w:pPr>
      <w:bookmarkStart w:id="113" w:name="_Toc347629464"/>
      <w:r w:rsidRPr="008B43F6">
        <w:rPr>
          <w:b/>
          <w:color w:val="4F81BD" w:themeColor="accent1"/>
        </w:rPr>
        <w:lastRenderedPageBreak/>
        <w:t>Radon</w:t>
      </w:r>
      <w:bookmarkEnd w:id="113"/>
    </w:p>
    <w:p w:rsidR="002C0CCF" w:rsidRPr="008B43F6" w:rsidRDefault="002C0CCF" w:rsidP="00C92E54">
      <w:pPr>
        <w:rPr>
          <w:rFonts w:cs="Arial"/>
        </w:rPr>
      </w:pPr>
      <w:r w:rsidRPr="008B43F6">
        <w:rPr>
          <w:rFonts w:cs="Arial"/>
        </w:rPr>
        <w:t>La mayor parte de la radiación a la que se expone un ser humano durante su vida procede de fuentes naturales del espacio exterior o de materiales presentes en la corteza de la Tierra.</w:t>
      </w:r>
    </w:p>
    <w:p w:rsidR="002C0CCF" w:rsidRPr="008B43F6" w:rsidRDefault="002C0CCF" w:rsidP="00C92E54">
      <w:pPr>
        <w:rPr>
          <w:rFonts w:cs="Arial"/>
        </w:rPr>
      </w:pPr>
      <w:r w:rsidRPr="008B43F6">
        <w:rPr>
          <w:rFonts w:cs="Arial"/>
        </w:rPr>
        <w:t>La exposición al radón para la mayor parte de la población tiene lugar principalmente en el interior de los edificios. La media de las concentraciones de radón depende, básicamente, de las características geológicas del terreno, de los materiales de construcción utilizados y de las características de ventilación del edificio.</w:t>
      </w:r>
    </w:p>
    <w:p w:rsidR="002C0CCF" w:rsidRPr="008B43F6" w:rsidRDefault="002C0CCF" w:rsidP="00C92E54">
      <w:pPr>
        <w:rPr>
          <w:rFonts w:cs="Arial"/>
        </w:rPr>
      </w:pPr>
      <w:r w:rsidRPr="008B43F6">
        <w:rPr>
          <w:rFonts w:cs="Arial"/>
        </w:rPr>
        <w:t xml:space="preserve">La principal fuente de radón en los espacios interiores es el radio presente en el suelo sobre el que descansa el edificio o los materiales utilizados en su construcción. Otras fuentes importantes —aunque su influencia relativa es mucho menor— son el aire exterior, el agua y el gas natural. </w:t>
      </w:r>
    </w:p>
    <w:p w:rsidR="002C0CCF" w:rsidRPr="008B43F6" w:rsidRDefault="002C0CCF" w:rsidP="00C92E54">
      <w:pPr>
        <w:rPr>
          <w:rFonts w:cs="Arial"/>
        </w:rPr>
      </w:pPr>
      <w:r w:rsidRPr="008B43F6">
        <w:rPr>
          <w:rFonts w:cs="Arial"/>
        </w:rPr>
        <w:t xml:space="preserve">Los materiales de construcción más comunes, como la madera, los ladrillos y los bloques de hormigón de escoria, emiten relativamente poco radón, a diferencia del granito y de la piedra pómez. Con todo, los principales problemas están causados por el uso de materiales naturales, como la pizarra de alumbre, en la producción de materiales de construcción. Dado que los posibles efectos del radón sobre la población en general no se han conocido hasta hace pocos años, los datos disponibles sobre las concentraciones existentes en espacios interiores se limitan a los países que, debido a sus características o circunstancias especiales, están más sensibilizados con este problema. Lo que sí se sabe es que en una misma región es posible encontrar concentraciones en espacios interiores muy superiores a las concentraciones del exterior </w:t>
      </w:r>
      <w:r w:rsidRPr="008B43F6">
        <w:rPr>
          <w:rFonts w:cs="Arial"/>
        </w:rPr>
        <w:fldChar w:fldCharType="begin"/>
      </w:r>
      <w:r w:rsidR="00251C87">
        <w:rPr>
          <w:rFonts w:cs="Arial"/>
        </w:rPr>
        <w:instrText xml:space="preserve"> ADDIN EN.CITE &lt;EndNote&gt;&lt;Cite&gt;&lt;Author&gt;Solá&lt;/Author&gt;&lt;RecNum&gt;43&lt;/RecNum&gt;&lt;DisplayText&gt;[48]&lt;/DisplayText&gt;&lt;record&gt;&lt;rec-number&gt;43&lt;/rec-number&gt;&lt;foreign-keys&gt;&lt;key app="EN" db-id="w0w9edzzlxxfdgesvf359ft8wzxverspwaav"&gt;43&lt;/key&gt;&lt;/foreign-keys&gt;&lt;ref-type name="Encyclopedia"&gt;53&lt;/ref-type&gt;&lt;contributors&gt;&lt;authors&gt;&lt;author&gt;Xavier Guardino Solá&lt;/author&gt;&lt;/authors&gt;&lt;/contributors&gt;&lt;titles&gt;&lt;title&gt;Calidad del Aire Interior&lt;/title&gt;&lt;secondary-title&gt;Enciclopedia de Seguridad y Salud en el Trabajo&lt;/secondary-title&gt;&lt;/titles&gt;&lt;dates&gt;&lt;/dates&gt;&lt;urls&gt;&lt;related-urls&gt;&lt;url&gt;http://www.insht.es/InshtWeb/Contenidos/Documentacion/TextosOnline/EnciclopediaOIT/tomo2/44.pdf&lt;/url&gt;&lt;/related-urls&gt;&lt;/urls&gt;&lt;/record&gt;&lt;/Cite&gt;&lt;/EndNote&gt;</w:instrText>
      </w:r>
      <w:r w:rsidRPr="008B43F6">
        <w:rPr>
          <w:rFonts w:cs="Arial"/>
        </w:rPr>
        <w:fldChar w:fldCharType="separate"/>
      </w:r>
      <w:r w:rsidR="00251C87">
        <w:rPr>
          <w:rFonts w:cs="Arial"/>
          <w:noProof/>
        </w:rPr>
        <w:t>[</w:t>
      </w:r>
      <w:hyperlink w:anchor="_ENREF_48" w:tooltip="Solá,  #43" w:history="1">
        <w:r w:rsidR="00251C87">
          <w:rPr>
            <w:rFonts w:cs="Arial"/>
            <w:noProof/>
          </w:rPr>
          <w:t>48</w:t>
        </w:r>
      </w:hyperlink>
      <w:r w:rsidR="00251C87">
        <w:rPr>
          <w:rFonts w:cs="Arial"/>
          <w:noProof/>
        </w:rPr>
        <w:t>]</w:t>
      </w:r>
      <w:r w:rsidRPr="008B43F6">
        <w:rPr>
          <w:rFonts w:cs="Arial"/>
        </w:rPr>
        <w:fldChar w:fldCharType="end"/>
      </w:r>
      <w:r w:rsidRPr="008B43F6">
        <w:rPr>
          <w:rFonts w:cs="Arial"/>
        </w:rPr>
        <w:t>.</w:t>
      </w:r>
    </w:p>
    <w:p w:rsidR="002C0CCF" w:rsidRPr="008B43F6" w:rsidRDefault="002C0CCF" w:rsidP="00C92E54">
      <w:pPr>
        <w:rPr>
          <w:b/>
          <w:color w:val="4F81BD" w:themeColor="accent1"/>
        </w:rPr>
      </w:pPr>
      <w:bookmarkStart w:id="114" w:name="_Toc347629465"/>
      <w:r w:rsidRPr="008B43F6">
        <w:rPr>
          <w:b/>
          <w:color w:val="4F81BD" w:themeColor="accent1"/>
        </w:rPr>
        <w:t>Contaminación Biológica</w:t>
      </w:r>
      <w:bookmarkEnd w:id="114"/>
    </w:p>
    <w:p w:rsidR="002C0CCF" w:rsidRPr="008B43F6" w:rsidRDefault="002C0CCF" w:rsidP="00C92E54">
      <w:pPr>
        <w:rPr>
          <w:rFonts w:cs="Arial"/>
        </w:rPr>
      </w:pPr>
      <w:r w:rsidRPr="008B43F6">
        <w:rPr>
          <w:rFonts w:cs="Arial"/>
        </w:rPr>
        <w:t xml:space="preserve">Los edificios proporcionan numerosos nichos o rincones que contienen el material orgánico muerto que sirve como nutriente a la mayoría de los hongos y bacterias para su crecimiento y producción de esporas. Los nutrientes están presentes en materiales como los siguientes: madera; papel, pintura y otros revestimientos de superficies; mobiliario como alfombras y muebles tapizados; tierra de macetas; polvo; escamas de piel y secreciones de seres humanos y de otros animales; y en alimentos cocinados y sus ingredientes crudos. El hecho de que tenga lugar o no el crecimiento de estos microorganismos depende del nivel de humedad. El polvo puede ser un lugar de depósito y, si está suficientemente húmedo, un lugar de cultivo para los mohos. Por consiguiente, una cantidad importante de esporas entran en suspensión en el aire cuando se mueve el polvo </w:t>
      </w:r>
      <w:r w:rsidRPr="008B43F6">
        <w:rPr>
          <w:rFonts w:cs="Arial"/>
        </w:rPr>
        <w:fldChar w:fldCharType="begin"/>
      </w:r>
      <w:r w:rsidR="00251C87">
        <w:rPr>
          <w:rFonts w:cs="Arial"/>
        </w:rPr>
        <w:instrText xml:space="preserve"> ADDIN EN.CITE &lt;EndNote&gt;&lt;Cite&gt;&lt;Author&gt;Solá&lt;/Author&gt;&lt;RecNum&gt;43&lt;/RecNum&gt;&lt;DisplayText&gt;[48]&lt;/DisplayText&gt;&lt;record&gt;&lt;rec-number&gt;43&lt;/rec-number&gt;&lt;foreign-keys&gt;&lt;key app="EN" db-id="w0w9edzzlxxfdgesvf359ft8wzxverspwaav"&gt;43&lt;/key&gt;&lt;/foreign-keys&gt;&lt;ref-type name="Encyclopedia"&gt;53&lt;/ref-type&gt;&lt;contributors&gt;&lt;authors&gt;&lt;author&gt;Xavier Guardino Solá&lt;/author&gt;&lt;/authors&gt;&lt;/contributors&gt;&lt;titles&gt;&lt;title&gt;Calidad del Aire Interior&lt;/title&gt;&lt;secondary-title&gt;Enciclopedia de Seguridad y Salud en el Trabajo&lt;/secondary-title&gt;&lt;/titles&gt;&lt;dates&gt;&lt;/dates&gt;&lt;urls&gt;&lt;related-urls&gt;&lt;url&gt;http://www.insht.es/InshtWeb/Contenidos/Documentacion/TextosOnline/EnciclopediaOIT/tomo2/44.pdf&lt;/url&gt;&lt;/related-urls&gt;&lt;/urls&gt;&lt;/record&gt;&lt;/Cite&gt;&lt;/EndNote&gt;</w:instrText>
      </w:r>
      <w:r w:rsidRPr="008B43F6">
        <w:rPr>
          <w:rFonts w:cs="Arial"/>
        </w:rPr>
        <w:fldChar w:fldCharType="separate"/>
      </w:r>
      <w:r w:rsidR="00251C87">
        <w:rPr>
          <w:rFonts w:cs="Arial"/>
          <w:noProof/>
        </w:rPr>
        <w:t>[</w:t>
      </w:r>
      <w:hyperlink w:anchor="_ENREF_48" w:tooltip="Solá,  #43" w:history="1">
        <w:r w:rsidR="00251C87">
          <w:rPr>
            <w:rFonts w:cs="Arial"/>
            <w:noProof/>
          </w:rPr>
          <w:t>48</w:t>
        </w:r>
      </w:hyperlink>
      <w:r w:rsidR="00251C87">
        <w:rPr>
          <w:rFonts w:cs="Arial"/>
          <w:noProof/>
        </w:rPr>
        <w:t>]</w:t>
      </w:r>
      <w:r w:rsidRPr="008B43F6">
        <w:rPr>
          <w:rFonts w:cs="Arial"/>
        </w:rPr>
        <w:fldChar w:fldCharType="end"/>
      </w:r>
      <w:r w:rsidRPr="008B43F6">
        <w:rPr>
          <w:rFonts w:cs="Arial"/>
        </w:rPr>
        <w:t>.</w:t>
      </w:r>
    </w:p>
    <w:p w:rsidR="002C0CCF" w:rsidRPr="008B43F6" w:rsidRDefault="002C0CCF" w:rsidP="00C92E54">
      <w:pPr>
        <w:rPr>
          <w:rFonts w:cs="Arial"/>
          <w:b/>
          <w:sz w:val="18"/>
          <w:szCs w:val="18"/>
        </w:rPr>
      </w:pPr>
      <w:r w:rsidRPr="008B43F6">
        <w:rPr>
          <w:rFonts w:cs="Arial"/>
          <w:b/>
          <w:sz w:val="18"/>
          <w:szCs w:val="18"/>
        </w:rPr>
        <w:t>Tabla 1. Contaminación Biológica en interiores</w:t>
      </w:r>
    </w:p>
    <w:tbl>
      <w:tblPr>
        <w:tblStyle w:val="Tablaconcuadrcula"/>
        <w:tblW w:w="0" w:type="auto"/>
        <w:tblLook w:val="04A0" w:firstRow="1" w:lastRow="0" w:firstColumn="1" w:lastColumn="0" w:noHBand="0" w:noVBand="1"/>
      </w:tblPr>
      <w:tblGrid>
        <w:gridCol w:w="1384"/>
        <w:gridCol w:w="7670"/>
      </w:tblGrid>
      <w:tr w:rsidR="002C0CCF" w:rsidRPr="008B43F6" w:rsidTr="00F14047">
        <w:tc>
          <w:tcPr>
            <w:tcW w:w="1384" w:type="dxa"/>
          </w:tcPr>
          <w:p w:rsidR="002C0CCF" w:rsidRPr="008B43F6" w:rsidRDefault="002C0CCF" w:rsidP="00C92E54">
            <w:pPr>
              <w:spacing w:line="276" w:lineRule="auto"/>
              <w:rPr>
                <w:b/>
                <w:bCs/>
                <w:i/>
                <w:spacing w:val="-3"/>
                <w:sz w:val="18"/>
                <w:szCs w:val="18"/>
              </w:rPr>
            </w:pPr>
            <w:r w:rsidRPr="008B43F6">
              <w:rPr>
                <w:b/>
                <w:bCs/>
                <w:i/>
                <w:spacing w:val="-3"/>
                <w:sz w:val="18"/>
                <w:szCs w:val="18"/>
              </w:rPr>
              <w:t>Polen</w:t>
            </w:r>
          </w:p>
        </w:tc>
        <w:tc>
          <w:tcPr>
            <w:tcW w:w="7670" w:type="dxa"/>
          </w:tcPr>
          <w:p w:rsidR="002C0CCF" w:rsidRPr="008B43F6" w:rsidRDefault="002C0CCF" w:rsidP="00C92E54">
            <w:pPr>
              <w:spacing w:line="276" w:lineRule="auto"/>
              <w:rPr>
                <w:bCs/>
                <w:spacing w:val="-3"/>
                <w:sz w:val="18"/>
                <w:szCs w:val="18"/>
              </w:rPr>
            </w:pPr>
            <w:r w:rsidRPr="008B43F6">
              <w:rPr>
                <w:bCs/>
                <w:spacing w:val="-3"/>
                <w:sz w:val="18"/>
                <w:szCs w:val="18"/>
              </w:rPr>
              <w:t>Los granos de polen contienen sustancias (alérgenos) que pueden causar respuestas alérgicas en personas susceptibles o atópicas, que se manifiestan generalmente como “fiebre del heno” o rinitis. La alergia se asocia principalmente al medio ambiente exterior; en el aire interior, las concentraciones de polen suelen ser considerablemente menores que en el aire atmosférico.</w:t>
            </w:r>
          </w:p>
        </w:tc>
      </w:tr>
      <w:tr w:rsidR="002C0CCF" w:rsidRPr="008B43F6" w:rsidTr="00F14047">
        <w:tc>
          <w:tcPr>
            <w:tcW w:w="1384" w:type="dxa"/>
          </w:tcPr>
          <w:p w:rsidR="002C0CCF" w:rsidRPr="008B43F6" w:rsidRDefault="002C0CCF" w:rsidP="00C92E54">
            <w:pPr>
              <w:spacing w:line="276" w:lineRule="auto"/>
              <w:rPr>
                <w:rFonts w:cs="Times New Roman"/>
                <w:b/>
                <w:bCs/>
                <w:i/>
                <w:iCs/>
                <w:sz w:val="18"/>
                <w:szCs w:val="18"/>
              </w:rPr>
            </w:pPr>
            <w:r w:rsidRPr="008B43F6">
              <w:rPr>
                <w:rFonts w:cs="Times New Roman"/>
                <w:b/>
                <w:bCs/>
                <w:i/>
                <w:iCs/>
                <w:sz w:val="18"/>
                <w:szCs w:val="18"/>
              </w:rPr>
              <w:t>Detritus</w:t>
            </w:r>
          </w:p>
        </w:tc>
        <w:tc>
          <w:tcPr>
            <w:tcW w:w="7670" w:type="dxa"/>
          </w:tcPr>
          <w:p w:rsidR="002C0CCF" w:rsidRPr="008B43F6" w:rsidRDefault="002C0CCF" w:rsidP="00C92E54">
            <w:pPr>
              <w:spacing w:line="276" w:lineRule="auto"/>
              <w:rPr>
                <w:rFonts w:cs="Arial"/>
                <w:sz w:val="18"/>
                <w:szCs w:val="18"/>
              </w:rPr>
            </w:pPr>
            <w:r w:rsidRPr="008B43F6">
              <w:rPr>
                <w:rFonts w:cs="Arial"/>
                <w:sz w:val="18"/>
                <w:szCs w:val="18"/>
              </w:rPr>
              <w:t xml:space="preserve">El detritus está constituido por partículas finas de piel, pelo y plumas (y saliva y orina desecadas), y es una fuente de potentes alérgenos que pueden causar ataques de rinitis o asma en personas susceptibles. Las principales fuentes de detritus en ambientes de interior suelen ser los gatos y los </w:t>
            </w:r>
            <w:r w:rsidRPr="008B43F6">
              <w:rPr>
                <w:rFonts w:cs="Arial"/>
                <w:sz w:val="18"/>
                <w:szCs w:val="18"/>
              </w:rPr>
              <w:lastRenderedPageBreak/>
              <w:t>perros.</w:t>
            </w:r>
          </w:p>
        </w:tc>
      </w:tr>
      <w:tr w:rsidR="002C0CCF" w:rsidRPr="008B43F6" w:rsidTr="00F14047">
        <w:tc>
          <w:tcPr>
            <w:tcW w:w="1384" w:type="dxa"/>
          </w:tcPr>
          <w:p w:rsidR="002C0CCF" w:rsidRPr="008B43F6" w:rsidRDefault="002C0CCF" w:rsidP="00C92E54">
            <w:pPr>
              <w:spacing w:line="276" w:lineRule="auto"/>
              <w:rPr>
                <w:rFonts w:cs="Times New Roman"/>
                <w:b/>
                <w:bCs/>
                <w:i/>
                <w:iCs/>
                <w:sz w:val="18"/>
                <w:szCs w:val="18"/>
              </w:rPr>
            </w:pPr>
            <w:r w:rsidRPr="008B43F6">
              <w:rPr>
                <w:rFonts w:cs="Times New Roman"/>
                <w:b/>
                <w:bCs/>
                <w:i/>
                <w:iCs/>
                <w:sz w:val="18"/>
                <w:szCs w:val="18"/>
              </w:rPr>
              <w:lastRenderedPageBreak/>
              <w:t>Acaros</w:t>
            </w:r>
          </w:p>
        </w:tc>
        <w:tc>
          <w:tcPr>
            <w:tcW w:w="7670" w:type="dxa"/>
          </w:tcPr>
          <w:p w:rsidR="002C0CCF" w:rsidRPr="008B43F6" w:rsidRDefault="002C0CCF" w:rsidP="00C92E54">
            <w:pPr>
              <w:spacing w:line="276" w:lineRule="auto"/>
              <w:rPr>
                <w:rFonts w:cs="Arial"/>
                <w:sz w:val="18"/>
                <w:szCs w:val="18"/>
              </w:rPr>
            </w:pPr>
            <w:r w:rsidRPr="008B43F6">
              <w:rPr>
                <w:rFonts w:cs="Arial"/>
                <w:sz w:val="18"/>
                <w:szCs w:val="18"/>
              </w:rPr>
              <w:t>Son arácnidos que se asocian en particular al polvo, pero puede haber fragmentos de estos y de sus productos de excreción (heces) en el aire interior. Junto a sus parientes cercanos, es una causa importante de alergia respiratoria. Se asocia principalmente a los hogares, donde abunda en las ropas de cama, pero también están presentes en los muebles tapizados.</w:t>
            </w:r>
          </w:p>
        </w:tc>
      </w:tr>
      <w:tr w:rsidR="002C0CCF" w:rsidRPr="008B43F6" w:rsidTr="00F14047">
        <w:tc>
          <w:tcPr>
            <w:tcW w:w="1384" w:type="dxa"/>
          </w:tcPr>
          <w:p w:rsidR="002C0CCF" w:rsidRPr="008B43F6" w:rsidRDefault="002C0CCF" w:rsidP="00C92E54">
            <w:pPr>
              <w:spacing w:line="276" w:lineRule="auto"/>
              <w:rPr>
                <w:rFonts w:cs="Times New Roman"/>
                <w:b/>
                <w:bCs/>
                <w:i/>
                <w:iCs/>
                <w:sz w:val="18"/>
                <w:szCs w:val="18"/>
              </w:rPr>
            </w:pPr>
            <w:r w:rsidRPr="008B43F6">
              <w:rPr>
                <w:rFonts w:cs="Times New Roman"/>
                <w:b/>
                <w:bCs/>
                <w:i/>
                <w:iCs/>
                <w:sz w:val="18"/>
                <w:szCs w:val="18"/>
              </w:rPr>
              <w:t>Virus</w:t>
            </w:r>
          </w:p>
        </w:tc>
        <w:tc>
          <w:tcPr>
            <w:tcW w:w="7670" w:type="dxa"/>
          </w:tcPr>
          <w:p w:rsidR="002C0CCF" w:rsidRPr="008B43F6" w:rsidRDefault="002C0CCF" w:rsidP="00C92E54">
            <w:pPr>
              <w:spacing w:line="276" w:lineRule="auto"/>
              <w:rPr>
                <w:rFonts w:cs="Arial"/>
                <w:sz w:val="18"/>
                <w:szCs w:val="18"/>
              </w:rPr>
            </w:pPr>
            <w:r w:rsidRPr="008B43F6">
              <w:rPr>
                <w:rFonts w:cs="Arial"/>
                <w:sz w:val="18"/>
                <w:szCs w:val="18"/>
              </w:rPr>
              <w:t>Los virus son microorganismos muy importantes en términos del nivel total de problemas de salud que causan, pero no pueden vivir de forma independiente fuera de células y tejidos vivos. El principal medio de transmisión es el contacto entre personas. La inhalación a corta distancia de aerosoles generados al toser o estornudar, como en el caso de los virus del resfriado y de la gripe, también es importante. Por consiguiente, es probable que las tasas de infección sean mayores en situaciones de aglomeración humana.</w:t>
            </w:r>
          </w:p>
        </w:tc>
      </w:tr>
      <w:tr w:rsidR="002C0CCF" w:rsidRPr="008B43F6" w:rsidTr="00F14047">
        <w:tc>
          <w:tcPr>
            <w:tcW w:w="1384" w:type="dxa"/>
          </w:tcPr>
          <w:p w:rsidR="002C0CCF" w:rsidRPr="008B43F6" w:rsidRDefault="002C0CCF" w:rsidP="00C92E54">
            <w:pPr>
              <w:spacing w:line="276" w:lineRule="auto"/>
              <w:rPr>
                <w:rFonts w:cs="Times New Roman"/>
                <w:b/>
                <w:bCs/>
                <w:i/>
                <w:iCs/>
                <w:sz w:val="18"/>
                <w:szCs w:val="18"/>
              </w:rPr>
            </w:pPr>
            <w:r w:rsidRPr="008B43F6">
              <w:rPr>
                <w:rFonts w:cs="Times New Roman"/>
                <w:b/>
                <w:bCs/>
                <w:i/>
                <w:iCs/>
                <w:sz w:val="18"/>
                <w:szCs w:val="18"/>
              </w:rPr>
              <w:t>Bacterias</w:t>
            </w:r>
          </w:p>
        </w:tc>
        <w:tc>
          <w:tcPr>
            <w:tcW w:w="7670" w:type="dxa"/>
          </w:tcPr>
          <w:p w:rsidR="002C0CCF" w:rsidRPr="008B43F6" w:rsidRDefault="002C0CCF" w:rsidP="00C92E54">
            <w:pPr>
              <w:spacing w:line="276" w:lineRule="auto"/>
              <w:rPr>
                <w:rFonts w:cs="Arial"/>
                <w:sz w:val="18"/>
                <w:szCs w:val="18"/>
              </w:rPr>
            </w:pPr>
            <w:r w:rsidRPr="008B43F6">
              <w:rPr>
                <w:rFonts w:cs="Arial"/>
                <w:sz w:val="18"/>
                <w:szCs w:val="18"/>
              </w:rPr>
              <w:t xml:space="preserve">Son microorganismos que se dividen en dos categorías principales, dependiendo de su reacción a la tinción de Gram. Los tipos grampositivos más frecuentes se originan en la boca, la nariz, la nasofaringe y la piel, y son </w:t>
            </w:r>
            <w:r w:rsidRPr="008B43F6">
              <w:rPr>
                <w:rFonts w:cs="Arial"/>
                <w:i/>
                <w:iCs/>
                <w:sz w:val="18"/>
                <w:szCs w:val="18"/>
              </w:rPr>
              <w:t>Staphylococcus epidermidis</w:t>
            </w:r>
            <w:r w:rsidRPr="008B43F6">
              <w:rPr>
                <w:rFonts w:cs="Arial"/>
                <w:sz w:val="18"/>
                <w:szCs w:val="18"/>
              </w:rPr>
              <w:t xml:space="preserve">, </w:t>
            </w:r>
            <w:r w:rsidRPr="008B43F6">
              <w:rPr>
                <w:rFonts w:cs="Arial"/>
                <w:i/>
                <w:iCs/>
                <w:sz w:val="18"/>
                <w:szCs w:val="18"/>
              </w:rPr>
              <w:t xml:space="preserve">S. aureus </w:t>
            </w:r>
            <w:r w:rsidRPr="008B43F6">
              <w:rPr>
                <w:rFonts w:cs="Arial"/>
                <w:sz w:val="18"/>
                <w:szCs w:val="18"/>
              </w:rPr>
              <w:t xml:space="preserve">y especies de </w:t>
            </w:r>
            <w:r w:rsidRPr="008B43F6">
              <w:rPr>
                <w:rFonts w:cs="Arial"/>
                <w:i/>
                <w:iCs/>
                <w:sz w:val="18"/>
                <w:szCs w:val="18"/>
              </w:rPr>
              <w:t>Aerococcus</w:t>
            </w:r>
            <w:r w:rsidRPr="008B43F6">
              <w:rPr>
                <w:rFonts w:cs="Arial"/>
                <w:sz w:val="18"/>
                <w:szCs w:val="18"/>
              </w:rPr>
              <w:t xml:space="preserve">, </w:t>
            </w:r>
            <w:r w:rsidRPr="008B43F6">
              <w:rPr>
                <w:rFonts w:cs="Arial"/>
                <w:i/>
                <w:iCs/>
                <w:sz w:val="18"/>
                <w:szCs w:val="18"/>
              </w:rPr>
              <w:t xml:space="preserve">Micrococcus </w:t>
            </w:r>
            <w:r w:rsidRPr="008B43F6">
              <w:rPr>
                <w:rFonts w:cs="Arial"/>
                <w:sz w:val="18"/>
                <w:szCs w:val="18"/>
              </w:rPr>
              <w:t xml:space="preserve">y </w:t>
            </w:r>
            <w:r w:rsidRPr="008B43F6">
              <w:rPr>
                <w:rFonts w:cs="Arial"/>
                <w:i/>
                <w:iCs/>
                <w:sz w:val="18"/>
                <w:szCs w:val="18"/>
              </w:rPr>
              <w:t>Streptococcus</w:t>
            </w:r>
            <w:r w:rsidRPr="008B43F6">
              <w:rPr>
                <w:rFonts w:cs="Arial"/>
                <w:sz w:val="18"/>
                <w:szCs w:val="18"/>
              </w:rPr>
              <w:t xml:space="preserve">. Las bacterias gramnegativas no suelen ser abundantes, pero en ocasiones especies de </w:t>
            </w:r>
            <w:r w:rsidRPr="008B43F6">
              <w:rPr>
                <w:rFonts w:cs="Arial"/>
                <w:i/>
                <w:iCs/>
                <w:sz w:val="18"/>
                <w:szCs w:val="18"/>
              </w:rPr>
              <w:t>Actinetobacter</w:t>
            </w:r>
            <w:r w:rsidRPr="008B43F6">
              <w:rPr>
                <w:rFonts w:cs="Arial"/>
                <w:sz w:val="18"/>
                <w:szCs w:val="18"/>
              </w:rPr>
              <w:t xml:space="preserve">, </w:t>
            </w:r>
            <w:r w:rsidRPr="008B43F6">
              <w:rPr>
                <w:rFonts w:cs="Arial"/>
                <w:i/>
                <w:iCs/>
                <w:sz w:val="18"/>
                <w:szCs w:val="18"/>
              </w:rPr>
              <w:t>Aeromonas</w:t>
            </w:r>
            <w:r w:rsidRPr="008B43F6">
              <w:rPr>
                <w:rFonts w:cs="Arial"/>
                <w:sz w:val="18"/>
                <w:szCs w:val="18"/>
              </w:rPr>
              <w:t xml:space="preserve">, </w:t>
            </w:r>
            <w:r w:rsidRPr="008B43F6">
              <w:rPr>
                <w:rFonts w:cs="Arial"/>
                <w:i/>
                <w:iCs/>
                <w:sz w:val="18"/>
                <w:szCs w:val="18"/>
              </w:rPr>
              <w:t xml:space="preserve">Flavobacterium </w:t>
            </w:r>
            <w:r w:rsidRPr="008B43F6">
              <w:rPr>
                <w:rFonts w:cs="Arial"/>
                <w:sz w:val="18"/>
                <w:szCs w:val="18"/>
              </w:rPr>
              <w:t xml:space="preserve">y especialmente </w:t>
            </w:r>
            <w:r w:rsidRPr="008B43F6">
              <w:rPr>
                <w:rFonts w:cs="Arial"/>
                <w:i/>
                <w:iCs/>
                <w:sz w:val="18"/>
                <w:szCs w:val="18"/>
              </w:rPr>
              <w:t>Pseudomonas</w:t>
            </w:r>
            <w:r w:rsidRPr="008B43F6">
              <w:rPr>
                <w:rFonts w:cs="Arial"/>
                <w:sz w:val="18"/>
                <w:szCs w:val="18"/>
              </w:rPr>
              <w:t xml:space="preserve"> pueden ser importantes. El agente causal de la enfermedad del legionario, </w:t>
            </w:r>
            <w:r w:rsidRPr="008B43F6">
              <w:rPr>
                <w:rFonts w:cs="Arial"/>
                <w:i/>
                <w:iCs/>
                <w:sz w:val="18"/>
                <w:szCs w:val="18"/>
              </w:rPr>
              <w:t>Legionella pneumophila</w:t>
            </w:r>
            <w:r w:rsidRPr="008B43F6">
              <w:rPr>
                <w:rFonts w:cs="Arial"/>
                <w:sz w:val="18"/>
                <w:szCs w:val="18"/>
              </w:rPr>
              <w:t xml:space="preserve">, puede estar presente en suministros de agua caliente y en humidificadores de aire acondicionado, así como en equipos de terapia respiratoria, </w:t>
            </w:r>
            <w:r w:rsidRPr="008B43F6">
              <w:rPr>
                <w:rFonts w:cs="Arial"/>
                <w:i/>
                <w:iCs/>
                <w:sz w:val="18"/>
                <w:szCs w:val="18"/>
              </w:rPr>
              <w:t>jacuzzis</w:t>
            </w:r>
            <w:r w:rsidRPr="008B43F6">
              <w:rPr>
                <w:rFonts w:cs="Arial"/>
                <w:sz w:val="18"/>
                <w:szCs w:val="18"/>
              </w:rPr>
              <w:t>, saunas y duchas. Se propaga desde estas instalaciones en aerosoles acuosos, pero también puede entrar en los edificios en el aire procedente de torres de refrigeración próximas.</w:t>
            </w:r>
          </w:p>
        </w:tc>
      </w:tr>
      <w:tr w:rsidR="002C0CCF" w:rsidRPr="008B43F6" w:rsidTr="00F14047">
        <w:tc>
          <w:tcPr>
            <w:tcW w:w="1384" w:type="dxa"/>
          </w:tcPr>
          <w:p w:rsidR="002C0CCF" w:rsidRPr="008B43F6" w:rsidRDefault="002C0CCF" w:rsidP="00C92E54">
            <w:pPr>
              <w:spacing w:line="276" w:lineRule="auto"/>
              <w:rPr>
                <w:rFonts w:cs="Times New Roman"/>
                <w:b/>
                <w:bCs/>
                <w:i/>
                <w:iCs/>
                <w:sz w:val="18"/>
                <w:szCs w:val="18"/>
              </w:rPr>
            </w:pPr>
            <w:r w:rsidRPr="008B43F6">
              <w:rPr>
                <w:rFonts w:cs="Times New Roman"/>
                <w:b/>
                <w:bCs/>
                <w:i/>
                <w:iCs/>
                <w:sz w:val="18"/>
                <w:szCs w:val="18"/>
              </w:rPr>
              <w:t>Protozoos</w:t>
            </w:r>
          </w:p>
        </w:tc>
        <w:tc>
          <w:tcPr>
            <w:tcW w:w="7670" w:type="dxa"/>
          </w:tcPr>
          <w:p w:rsidR="002C0CCF" w:rsidRPr="008B43F6" w:rsidRDefault="002C0CCF" w:rsidP="00C92E54">
            <w:pPr>
              <w:spacing w:line="276" w:lineRule="auto"/>
              <w:rPr>
                <w:rFonts w:cs="Arial"/>
                <w:sz w:val="18"/>
                <w:szCs w:val="18"/>
              </w:rPr>
            </w:pPr>
            <w:r w:rsidRPr="008B43F6">
              <w:rPr>
                <w:rFonts w:cs="Arial"/>
                <w:sz w:val="18"/>
                <w:szCs w:val="18"/>
              </w:rPr>
              <w:t xml:space="preserve">Los protozoos, como </w:t>
            </w:r>
            <w:r w:rsidRPr="008B43F6">
              <w:rPr>
                <w:rFonts w:cs="Arial"/>
                <w:i/>
                <w:iCs/>
                <w:sz w:val="18"/>
                <w:szCs w:val="18"/>
              </w:rPr>
              <w:t xml:space="preserve">Acanthamoeba </w:t>
            </w:r>
            <w:r w:rsidRPr="008B43F6">
              <w:rPr>
                <w:rFonts w:cs="Arial"/>
                <w:sz w:val="18"/>
                <w:szCs w:val="18"/>
              </w:rPr>
              <w:t xml:space="preserve">y </w:t>
            </w:r>
            <w:r w:rsidRPr="008B43F6">
              <w:rPr>
                <w:rFonts w:cs="Arial"/>
                <w:i/>
                <w:iCs/>
                <w:sz w:val="18"/>
                <w:szCs w:val="18"/>
              </w:rPr>
              <w:t xml:space="preserve">Naegleri </w:t>
            </w:r>
            <w:r w:rsidRPr="008B43F6">
              <w:rPr>
                <w:rFonts w:cs="Arial"/>
                <w:sz w:val="18"/>
                <w:szCs w:val="18"/>
              </w:rPr>
              <w:t>son animales unicelulares microscópicos que se alimentan de bacterias y otras partículas orgánicas presentes en humidificadores, reservorios y bandejas de drenaje de sistemas de aire acondicionado. Pueden formarse aerosoles de partículas de estos protozoos, que se han citado como causas posibles de fiebre por humidificadores.</w:t>
            </w:r>
          </w:p>
        </w:tc>
      </w:tr>
      <w:tr w:rsidR="002C0CCF" w:rsidRPr="008B43F6" w:rsidTr="00F14047">
        <w:tc>
          <w:tcPr>
            <w:tcW w:w="1384" w:type="dxa"/>
          </w:tcPr>
          <w:p w:rsidR="002C0CCF" w:rsidRPr="008B43F6" w:rsidRDefault="002C0CCF" w:rsidP="00C92E54">
            <w:pPr>
              <w:spacing w:line="276" w:lineRule="auto"/>
              <w:rPr>
                <w:rFonts w:cs="Times New Roman"/>
                <w:b/>
                <w:bCs/>
                <w:i/>
                <w:iCs/>
                <w:sz w:val="18"/>
                <w:szCs w:val="18"/>
              </w:rPr>
            </w:pPr>
            <w:r w:rsidRPr="008B43F6">
              <w:rPr>
                <w:rFonts w:cs="Times New Roman"/>
                <w:b/>
                <w:bCs/>
                <w:i/>
                <w:iCs/>
                <w:sz w:val="18"/>
                <w:szCs w:val="18"/>
              </w:rPr>
              <w:t>Compuestos orgánicos volátiles microbianos</w:t>
            </w:r>
          </w:p>
          <w:p w:rsidR="002C0CCF" w:rsidRPr="008B43F6" w:rsidRDefault="002C0CCF" w:rsidP="00C92E54">
            <w:pPr>
              <w:spacing w:line="276" w:lineRule="auto"/>
              <w:rPr>
                <w:bCs/>
                <w:spacing w:val="-3"/>
                <w:sz w:val="18"/>
                <w:szCs w:val="18"/>
              </w:rPr>
            </w:pPr>
          </w:p>
        </w:tc>
        <w:tc>
          <w:tcPr>
            <w:tcW w:w="7670" w:type="dxa"/>
          </w:tcPr>
          <w:p w:rsidR="002C0CCF" w:rsidRPr="008B43F6" w:rsidRDefault="002C0CCF" w:rsidP="00C92E54">
            <w:pPr>
              <w:spacing w:line="276" w:lineRule="auto"/>
              <w:rPr>
                <w:rFonts w:cs="Arial"/>
                <w:sz w:val="18"/>
                <w:szCs w:val="18"/>
              </w:rPr>
            </w:pPr>
            <w:r w:rsidRPr="008B43F6">
              <w:rPr>
                <w:rFonts w:cs="Arial"/>
                <w:sz w:val="18"/>
                <w:szCs w:val="18"/>
              </w:rPr>
              <w:t xml:space="preserve">Los compuestos orgánicos volátiles microbianos varían considerablemente en su composición química y su olor. Algunos son producidos por una amplia variedad de microorganismos, como hongos y bacterias, pero otros están asociados a especies particulares. </w:t>
            </w:r>
          </w:p>
        </w:tc>
      </w:tr>
      <w:tr w:rsidR="002C0CCF" w:rsidRPr="008B43F6" w:rsidTr="00F14047">
        <w:tc>
          <w:tcPr>
            <w:tcW w:w="1384" w:type="dxa"/>
          </w:tcPr>
          <w:p w:rsidR="002C0CCF" w:rsidRPr="008B43F6" w:rsidRDefault="002C0CCF" w:rsidP="00C92E54">
            <w:pPr>
              <w:spacing w:line="276" w:lineRule="auto"/>
              <w:rPr>
                <w:rFonts w:cs="Times New Roman"/>
                <w:b/>
                <w:bCs/>
                <w:i/>
                <w:iCs/>
                <w:sz w:val="18"/>
                <w:szCs w:val="18"/>
              </w:rPr>
            </w:pPr>
            <w:r w:rsidRPr="008B43F6">
              <w:rPr>
                <w:rFonts w:cs="Times New Roman"/>
                <w:b/>
                <w:bCs/>
                <w:i/>
                <w:iCs/>
                <w:sz w:val="18"/>
                <w:szCs w:val="18"/>
              </w:rPr>
              <w:t>Hongos</w:t>
            </w:r>
          </w:p>
        </w:tc>
        <w:tc>
          <w:tcPr>
            <w:tcW w:w="7670" w:type="dxa"/>
          </w:tcPr>
          <w:p w:rsidR="002C0CCF" w:rsidRPr="008B43F6" w:rsidRDefault="002C0CCF" w:rsidP="00C92E54">
            <w:pPr>
              <w:spacing w:line="276" w:lineRule="auto"/>
              <w:rPr>
                <w:rFonts w:cs="Arial"/>
                <w:sz w:val="18"/>
                <w:szCs w:val="18"/>
              </w:rPr>
            </w:pPr>
            <w:r w:rsidRPr="008B43F6">
              <w:rPr>
                <w:rFonts w:cs="Arial"/>
                <w:sz w:val="18"/>
                <w:szCs w:val="18"/>
              </w:rPr>
              <w:t xml:space="preserve">Los hongos se dividen en dos grupos: el primero, las levaduras y mohos microscópicos conocidos como microhongos, y el segundo, los hongos del yeso y de la madera podrida, denominados macrohongos, ya que producen esporas macroscópicas apreciables a simple vista. Además de las levaduras unicelulares, los hongos colonizan sustratos formando redes o filamentos. Los hongos filamentosos producen numerosas esporas que se dispersan por el aire a partir de estructuras microscópicas (productoras de esporas en los mohos) y de estructuras grandes (productoras de esporas en los macrohongos). </w:t>
            </w:r>
          </w:p>
        </w:tc>
      </w:tr>
    </w:tbl>
    <w:p w:rsidR="002C0CCF" w:rsidRPr="008B43F6" w:rsidRDefault="002C0CCF" w:rsidP="00C92E54">
      <w:pPr>
        <w:rPr>
          <w:rFonts w:cs="Times New Roman"/>
          <w:b/>
          <w:bCs/>
          <w:i/>
          <w:iCs/>
          <w:sz w:val="18"/>
          <w:szCs w:val="18"/>
        </w:rPr>
      </w:pPr>
      <w:r w:rsidRPr="008B43F6">
        <w:rPr>
          <w:rFonts w:cs="Times New Roman"/>
          <w:b/>
          <w:bCs/>
          <w:i/>
          <w:iCs/>
          <w:sz w:val="18"/>
          <w:szCs w:val="18"/>
        </w:rPr>
        <w:t xml:space="preserve">Fuente: </w:t>
      </w:r>
      <w:r w:rsidRPr="008B43F6">
        <w:rPr>
          <w:rFonts w:cs="Arial"/>
          <w:sz w:val="18"/>
          <w:szCs w:val="18"/>
        </w:rPr>
        <w:fldChar w:fldCharType="begin"/>
      </w:r>
      <w:r w:rsidR="00251C87">
        <w:rPr>
          <w:rFonts w:cs="Arial"/>
          <w:sz w:val="18"/>
          <w:szCs w:val="18"/>
        </w:rPr>
        <w:instrText xml:space="preserve"> ADDIN EN.CITE &lt;EndNote&gt;&lt;Cite&gt;&lt;Author&gt;Solá&lt;/Author&gt;&lt;RecNum&gt;43&lt;/RecNum&gt;&lt;DisplayText&gt;[48]&lt;/DisplayText&gt;&lt;record&gt;&lt;rec-number&gt;43&lt;/rec-number&gt;&lt;foreign-keys&gt;&lt;key app="EN" db-id="w0w9edzzlxxfdgesvf359ft8wzxverspwaav"&gt;43&lt;/key&gt;&lt;/foreign-keys&gt;&lt;ref-type name="Encyclopedia"&gt;53&lt;/ref-type&gt;&lt;contributors&gt;&lt;authors&gt;&lt;author&gt;Xavier Guardino Solá&lt;/author&gt;&lt;/authors&gt;&lt;/contributors&gt;&lt;titles&gt;&lt;title&gt;Calidad del Aire Interior&lt;/title&gt;&lt;secondary-title&gt;Enciclopedia de Seguridad y Salud en el Trabajo&lt;/secondary-title&gt;&lt;/titles&gt;&lt;dates&gt;&lt;/dates&gt;&lt;urls&gt;&lt;related-urls&gt;&lt;url&gt;http://www.insht.es/InshtWeb/Contenidos/Documentacion/TextosOnline/EnciclopediaOIT/tomo2/44.pdf&lt;/url&gt;&lt;/related-urls&gt;&lt;/urls&gt;&lt;/record&gt;&lt;/Cite&gt;&lt;/EndNote&gt;</w:instrText>
      </w:r>
      <w:r w:rsidRPr="008B43F6">
        <w:rPr>
          <w:rFonts w:cs="Arial"/>
          <w:sz w:val="18"/>
          <w:szCs w:val="18"/>
        </w:rPr>
        <w:fldChar w:fldCharType="separate"/>
      </w:r>
      <w:r w:rsidR="00251C87">
        <w:rPr>
          <w:rFonts w:cs="Arial"/>
          <w:noProof/>
          <w:sz w:val="18"/>
          <w:szCs w:val="18"/>
        </w:rPr>
        <w:t>[</w:t>
      </w:r>
      <w:hyperlink w:anchor="_ENREF_48" w:tooltip="Solá,  #43" w:history="1">
        <w:r w:rsidR="00251C87">
          <w:rPr>
            <w:rFonts w:cs="Arial"/>
            <w:noProof/>
            <w:sz w:val="18"/>
            <w:szCs w:val="18"/>
          </w:rPr>
          <w:t>48</w:t>
        </w:r>
      </w:hyperlink>
      <w:r w:rsidR="00251C87">
        <w:rPr>
          <w:rFonts w:cs="Arial"/>
          <w:noProof/>
          <w:sz w:val="18"/>
          <w:szCs w:val="18"/>
        </w:rPr>
        <w:t>]</w:t>
      </w:r>
      <w:r w:rsidRPr="008B43F6">
        <w:rPr>
          <w:rFonts w:cs="Arial"/>
          <w:sz w:val="18"/>
          <w:szCs w:val="18"/>
        </w:rPr>
        <w:fldChar w:fldCharType="end"/>
      </w:r>
    </w:p>
    <w:p w:rsidR="002C0CCF" w:rsidRPr="008B43F6" w:rsidRDefault="002C0CCF" w:rsidP="00C92E54">
      <w:pPr>
        <w:rPr>
          <w:b/>
          <w:i/>
          <w:iCs/>
        </w:rPr>
      </w:pPr>
      <w:bookmarkStart w:id="115" w:name="_Toc347629466"/>
      <w:r w:rsidRPr="008B43F6">
        <w:rPr>
          <w:b/>
        </w:rPr>
        <w:t>Contaminación biológica interior y sus efectos sobre la salud</w:t>
      </w:r>
      <w:bookmarkEnd w:id="115"/>
    </w:p>
    <w:p w:rsidR="002C0CCF" w:rsidRPr="008B43F6" w:rsidRDefault="002C0CCF" w:rsidP="00C92E54">
      <w:pPr>
        <w:rPr>
          <w:rFonts w:cs="Arial"/>
        </w:rPr>
      </w:pPr>
      <w:r w:rsidRPr="008B43F6">
        <w:rPr>
          <w:rFonts w:cs="Arial"/>
        </w:rPr>
        <w:t xml:space="preserve">Aunque los patógenos son relativamente infrecuentes en el aire interior, existen numerosos informes que relacionan microorganismos de transmisión aérea con una serie de procesos alérgicos, entre los que se incluyen los siguientes: </w:t>
      </w:r>
      <w:r w:rsidRPr="008B43F6">
        <w:rPr>
          <w:rFonts w:cs="Arial"/>
          <w:i/>
          <w:iCs/>
        </w:rPr>
        <w:t xml:space="preserve">a) </w:t>
      </w:r>
      <w:r w:rsidRPr="008B43F6">
        <w:rPr>
          <w:rFonts w:cs="Arial"/>
        </w:rPr>
        <w:t xml:space="preserve">dermatitis alérgica atópica; </w:t>
      </w:r>
      <w:r w:rsidRPr="008B43F6">
        <w:rPr>
          <w:rFonts w:cs="Arial"/>
          <w:i/>
          <w:iCs/>
        </w:rPr>
        <w:t xml:space="preserve">b) </w:t>
      </w:r>
      <w:r w:rsidRPr="008B43F6">
        <w:rPr>
          <w:rFonts w:cs="Arial"/>
        </w:rPr>
        <w:t xml:space="preserve">rinitis; </w:t>
      </w:r>
      <w:r w:rsidRPr="008B43F6">
        <w:rPr>
          <w:rFonts w:cs="Arial"/>
          <w:i/>
          <w:iCs/>
        </w:rPr>
        <w:t xml:space="preserve">c) </w:t>
      </w:r>
      <w:r w:rsidRPr="008B43F6">
        <w:rPr>
          <w:rFonts w:cs="Arial"/>
        </w:rPr>
        <w:t xml:space="preserve">asma; </w:t>
      </w:r>
      <w:r w:rsidRPr="008B43F6">
        <w:rPr>
          <w:rFonts w:cs="Arial"/>
          <w:i/>
          <w:iCs/>
        </w:rPr>
        <w:t xml:space="preserve">d) </w:t>
      </w:r>
      <w:r w:rsidRPr="008B43F6">
        <w:rPr>
          <w:rFonts w:cs="Arial"/>
        </w:rPr>
        <w:t xml:space="preserve">fiebre por humidificadores, y </w:t>
      </w:r>
      <w:r w:rsidRPr="008B43F6">
        <w:rPr>
          <w:rFonts w:cs="Arial"/>
          <w:i/>
          <w:iCs/>
        </w:rPr>
        <w:t xml:space="preserve">e) </w:t>
      </w:r>
      <w:r w:rsidRPr="008B43F6">
        <w:rPr>
          <w:rFonts w:cs="Arial"/>
        </w:rPr>
        <w:t xml:space="preserve">alveolitis alérgica extrínseca (AAE), también conocida como neumonitis por hipersensibilidad (NH) </w:t>
      </w:r>
      <w:r w:rsidRPr="008B43F6">
        <w:rPr>
          <w:rFonts w:cs="Arial"/>
        </w:rPr>
        <w:fldChar w:fldCharType="begin"/>
      </w:r>
      <w:r w:rsidR="00251C87">
        <w:rPr>
          <w:rFonts w:cs="Arial"/>
        </w:rPr>
        <w:instrText xml:space="preserve"> ADDIN EN.CITE &lt;EndNote&gt;&lt;Cite&gt;&lt;Author&gt;Solá&lt;/Author&gt;&lt;RecNum&gt;43&lt;/RecNum&gt;&lt;DisplayText&gt;[48]&lt;/DisplayText&gt;&lt;record&gt;&lt;rec-number&gt;43&lt;/rec-number&gt;&lt;foreign-keys&gt;&lt;key app="EN" db-id="w0w9edzzlxxfdgesvf359ft8wzxverspwaav"&gt;43&lt;/key&gt;&lt;/foreign-keys&gt;&lt;ref-type name="Encyclopedia"&gt;53&lt;/ref-type&gt;&lt;contributors&gt;&lt;authors&gt;&lt;author&gt;Xavier Guardino Solá&lt;/author&gt;&lt;/authors&gt;&lt;/contributors&gt;&lt;titles&gt;&lt;title&gt;Calidad del Aire Interior&lt;/title&gt;&lt;secondary-title&gt;Enciclopedia de Seguridad y Salud en el Trabajo&lt;/secondary-title&gt;&lt;/titles&gt;&lt;dates&gt;&lt;/dates&gt;&lt;urls&gt;&lt;related-urls&gt;&lt;url&gt;http://www.insht.es/InshtWeb/Contenidos/Documentacion/TextosOnline/EnciclopediaOIT/tomo2/44.pdf&lt;/url&gt;&lt;/related-urls&gt;&lt;/urls&gt;&lt;/record&gt;&lt;/Cite&gt;&lt;/EndNote&gt;</w:instrText>
      </w:r>
      <w:r w:rsidRPr="008B43F6">
        <w:rPr>
          <w:rFonts w:cs="Arial"/>
        </w:rPr>
        <w:fldChar w:fldCharType="separate"/>
      </w:r>
      <w:r w:rsidR="00251C87">
        <w:rPr>
          <w:rFonts w:cs="Arial"/>
          <w:noProof/>
        </w:rPr>
        <w:t>[</w:t>
      </w:r>
      <w:hyperlink w:anchor="_ENREF_48" w:tooltip="Solá,  #43" w:history="1">
        <w:r w:rsidR="00251C87">
          <w:rPr>
            <w:rFonts w:cs="Arial"/>
            <w:noProof/>
          </w:rPr>
          <w:t>48</w:t>
        </w:r>
      </w:hyperlink>
      <w:r w:rsidR="00251C87">
        <w:rPr>
          <w:rFonts w:cs="Arial"/>
          <w:noProof/>
        </w:rPr>
        <w:t>]</w:t>
      </w:r>
      <w:r w:rsidRPr="008B43F6">
        <w:rPr>
          <w:rFonts w:cs="Arial"/>
        </w:rPr>
        <w:fldChar w:fldCharType="end"/>
      </w:r>
      <w:r w:rsidRPr="008B43F6">
        <w:rPr>
          <w:rFonts w:cs="Arial"/>
        </w:rPr>
        <w:t>.</w:t>
      </w:r>
    </w:p>
    <w:p w:rsidR="002C0CCF" w:rsidRPr="008B43F6" w:rsidRDefault="002C0CCF" w:rsidP="00C92E54">
      <w:pPr>
        <w:rPr>
          <w:rFonts w:cs="Arial"/>
        </w:rPr>
      </w:pPr>
      <w:r w:rsidRPr="008B43F6">
        <w:rPr>
          <w:rFonts w:cs="Arial"/>
        </w:rPr>
        <w:t xml:space="preserve">Los hongos son considerados más importantes que las bacterias como componentes de los aerosoles biológicos presentes en el aire interior. Debido a que crecen en superficies húmedas en </w:t>
      </w:r>
      <w:r w:rsidRPr="008B43F6">
        <w:rPr>
          <w:rFonts w:cs="Arial"/>
        </w:rPr>
        <w:lastRenderedPageBreak/>
        <w:t xml:space="preserve">forma de placas de moho, los hongos suelen poner en evidencia problemas de humedad y de riesgo potencial para la salud en un edificio. El crecimiento de moho contribuye tanto en número como en especies a la flora de moho del aire interior, que de lo contrario no estaría presente. Los hongos hidrófilos son indicadores de lugares extremadamente húmedos de cultivos (visibles u ocultos) y, por consiguiente, de mala calidad del aire interior. Los mohos también son abundantes en el polvo de las casas, por lo que su presencia en número elevado también puede indicar que existe una atmósfera con polvo </w:t>
      </w:r>
      <w:r w:rsidRPr="008B43F6">
        <w:rPr>
          <w:rFonts w:cs="Arial"/>
        </w:rPr>
        <w:fldChar w:fldCharType="begin"/>
      </w:r>
      <w:r w:rsidR="00251C87">
        <w:rPr>
          <w:rFonts w:cs="Arial"/>
        </w:rPr>
        <w:instrText xml:space="preserve"> ADDIN EN.CITE &lt;EndNote&gt;&lt;Cite&gt;&lt;Author&gt;Solá&lt;/Author&gt;&lt;RecNum&gt;43&lt;/RecNum&gt;&lt;DisplayText&gt;[48]&lt;/DisplayText&gt;&lt;record&gt;&lt;rec-number&gt;43&lt;/rec-number&gt;&lt;foreign-keys&gt;&lt;key app="EN" db-id="w0w9edzzlxxfdgesvf359ft8wzxverspwaav"&gt;43&lt;/key&gt;&lt;/foreign-keys&gt;&lt;ref-type name="Encyclopedia"&gt;53&lt;/ref-type&gt;&lt;contributors&gt;&lt;authors&gt;&lt;author&gt;Xavier Guardino Solá&lt;/author&gt;&lt;/authors&gt;&lt;/contributors&gt;&lt;titles&gt;&lt;title&gt;Calidad del Aire Interior&lt;/title&gt;&lt;secondary-title&gt;Enciclopedia de Seguridad y Salud en el Trabajo&lt;/secondary-title&gt;&lt;/titles&gt;&lt;dates&gt;&lt;/dates&gt;&lt;urls&gt;&lt;related-urls&gt;&lt;url&gt;http://www.insht.es/InshtWeb/Contenidos/Documentacion/TextosOnline/EnciclopediaOIT/tomo2/44.pdf&lt;/url&gt;&lt;/related-urls&gt;&lt;/urls&gt;&lt;/record&gt;&lt;/Cite&gt;&lt;/EndNote&gt;</w:instrText>
      </w:r>
      <w:r w:rsidRPr="008B43F6">
        <w:rPr>
          <w:rFonts w:cs="Arial"/>
        </w:rPr>
        <w:fldChar w:fldCharType="separate"/>
      </w:r>
      <w:r w:rsidR="00251C87">
        <w:rPr>
          <w:rFonts w:cs="Arial"/>
          <w:noProof/>
        </w:rPr>
        <w:t>[</w:t>
      </w:r>
      <w:hyperlink w:anchor="_ENREF_48" w:tooltip="Solá,  #43" w:history="1">
        <w:r w:rsidR="00251C87">
          <w:rPr>
            <w:rFonts w:cs="Arial"/>
            <w:noProof/>
          </w:rPr>
          <w:t>48</w:t>
        </w:r>
      </w:hyperlink>
      <w:r w:rsidR="00251C87">
        <w:rPr>
          <w:rFonts w:cs="Arial"/>
          <w:noProof/>
        </w:rPr>
        <w:t>]</w:t>
      </w:r>
      <w:r w:rsidRPr="008B43F6">
        <w:rPr>
          <w:rFonts w:cs="Arial"/>
        </w:rPr>
        <w:fldChar w:fldCharType="end"/>
      </w:r>
      <w:r w:rsidRPr="008B43F6">
        <w:rPr>
          <w:rFonts w:cs="Arial"/>
        </w:rPr>
        <w:t xml:space="preserve">. </w:t>
      </w:r>
    </w:p>
    <w:p w:rsidR="002C0CCF" w:rsidRPr="008B43F6" w:rsidRDefault="002C0CCF" w:rsidP="00C92E54">
      <w:pPr>
        <w:rPr>
          <w:rFonts w:cs="Arial"/>
        </w:rPr>
      </w:pPr>
      <w:r w:rsidRPr="008B43F6">
        <w:rPr>
          <w:rFonts w:cs="Arial"/>
        </w:rPr>
        <w:t xml:space="preserve">Los hongos de transmisión aérea son mucho más importantes que las bacterias como causas de enfermedad alérgica, aunque parece que los alérgenos micóticos son menos importantes que los del polen, los ácaros del polvo de las casas y el detritus animal. Muchos tipos de hongos han demostrado ser alergénicos </w:t>
      </w:r>
      <w:r w:rsidRPr="008B43F6">
        <w:rPr>
          <w:rFonts w:cs="Arial"/>
        </w:rPr>
        <w:fldChar w:fldCharType="begin"/>
      </w:r>
      <w:r w:rsidR="00251C87">
        <w:rPr>
          <w:rFonts w:cs="Arial"/>
        </w:rPr>
        <w:instrText xml:space="preserve"> ADDIN EN.CITE &lt;EndNote&gt;&lt;Cite&gt;&lt;Author&gt;Solá&lt;/Author&gt;&lt;RecNum&gt;43&lt;/RecNum&gt;&lt;DisplayText&gt;[48]&lt;/DisplayText&gt;&lt;record&gt;&lt;rec-number&gt;43&lt;/rec-number&gt;&lt;foreign-keys&gt;&lt;key app="EN" db-id="w0w9edzzlxxfdgesvf359ft8wzxverspwaav"&gt;43&lt;/key&gt;&lt;/foreign-keys&gt;&lt;ref-type name="Encyclopedia"&gt;53&lt;/ref-type&gt;&lt;contributors&gt;&lt;authors&gt;&lt;author&gt;Xavier Guardino Solá&lt;/author&gt;&lt;/authors&gt;&lt;/contributors&gt;&lt;titles&gt;&lt;title&gt;Calidad del Aire Interior&lt;/title&gt;&lt;secondary-title&gt;Enciclopedia de Seguridad y Salud en el Trabajo&lt;/secondary-title&gt;&lt;/titles&gt;&lt;dates&gt;&lt;/dates&gt;&lt;urls&gt;&lt;related-urls&gt;&lt;url&gt;http://www.insht.es/InshtWeb/Contenidos/Documentacion/TextosOnline/EnciclopediaOIT/tomo2/44.pdf&lt;/url&gt;&lt;/related-urls&gt;&lt;/urls&gt;&lt;/record&gt;&lt;/Cite&gt;&lt;/EndNote&gt;</w:instrText>
      </w:r>
      <w:r w:rsidRPr="008B43F6">
        <w:rPr>
          <w:rFonts w:cs="Arial"/>
        </w:rPr>
        <w:fldChar w:fldCharType="separate"/>
      </w:r>
      <w:r w:rsidR="00251C87">
        <w:rPr>
          <w:rFonts w:cs="Arial"/>
          <w:noProof/>
        </w:rPr>
        <w:t>[</w:t>
      </w:r>
      <w:hyperlink w:anchor="_ENREF_48" w:tooltip="Solá,  #43" w:history="1">
        <w:r w:rsidR="00251C87">
          <w:rPr>
            <w:rFonts w:cs="Arial"/>
            <w:noProof/>
          </w:rPr>
          <w:t>48</w:t>
        </w:r>
      </w:hyperlink>
      <w:r w:rsidR="00251C87">
        <w:rPr>
          <w:rFonts w:cs="Arial"/>
          <w:noProof/>
        </w:rPr>
        <w:t>]</w:t>
      </w:r>
      <w:r w:rsidRPr="008B43F6">
        <w:rPr>
          <w:rFonts w:cs="Arial"/>
        </w:rPr>
        <w:fldChar w:fldCharType="end"/>
      </w:r>
      <w:r w:rsidRPr="008B43F6">
        <w:rPr>
          <w:rFonts w:cs="Arial"/>
        </w:rPr>
        <w:t xml:space="preserve">. </w:t>
      </w:r>
    </w:p>
    <w:p w:rsidR="002C0CCF" w:rsidRPr="008B43F6" w:rsidRDefault="002C0CCF" w:rsidP="00C92E54"/>
    <w:p w:rsidR="002C0CCF" w:rsidRPr="008B43F6" w:rsidRDefault="002C0CCF" w:rsidP="00C92E54">
      <w:pPr>
        <w:pStyle w:val="Ttulo1"/>
        <w:rPr>
          <w:rFonts w:asciiTheme="minorHAnsi" w:hAnsiTheme="minorHAnsi"/>
        </w:rPr>
      </w:pPr>
      <w:bookmarkStart w:id="116" w:name="_Toc350212894"/>
      <w:bookmarkStart w:id="117" w:name="_Toc350874995"/>
      <w:bookmarkStart w:id="118" w:name="_Toc351397608"/>
      <w:r w:rsidRPr="008B43F6">
        <w:rPr>
          <w:rFonts w:asciiTheme="minorHAnsi" w:hAnsiTheme="minorHAnsi"/>
        </w:rPr>
        <w:t xml:space="preserve">Anexo </w:t>
      </w:r>
      <w:r w:rsidR="00E51B35" w:rsidRPr="008B43F6">
        <w:rPr>
          <w:rFonts w:asciiTheme="minorHAnsi" w:hAnsiTheme="minorHAnsi"/>
        </w:rPr>
        <w:t>IV.</w:t>
      </w:r>
      <w:r w:rsidRPr="008B43F6">
        <w:rPr>
          <w:rFonts w:asciiTheme="minorHAnsi" w:hAnsiTheme="minorHAnsi"/>
        </w:rPr>
        <w:t xml:space="preserve"> La eficiencia energética y la salud en la vivienda</w:t>
      </w:r>
      <w:bookmarkEnd w:id="116"/>
      <w:bookmarkEnd w:id="117"/>
      <w:bookmarkEnd w:id="118"/>
    </w:p>
    <w:p w:rsidR="002C0CCF" w:rsidRPr="008B43F6" w:rsidRDefault="002C0CCF" w:rsidP="00C92E54">
      <w:pPr>
        <w:rPr>
          <w:rFonts w:cs="TimesNewRoman"/>
        </w:rPr>
      </w:pPr>
      <w:r w:rsidRPr="008B43F6">
        <w:rPr>
          <w:rFonts w:cs="TimesNewRoman"/>
        </w:rPr>
        <w:t>La vivienda es ampliamente reconocida como uno de los ambientes que más efecto tienen sobre la salud humana. Las condiciones de vida y de vivienda son la base de muchos factores que influyen en las condiciones de salud en el hogar. La calidad del aire interior (ver ANEXO II</w:t>
      </w:r>
      <w:r w:rsidR="00072F36">
        <w:rPr>
          <w:rFonts w:cs="TimesNewRoman"/>
        </w:rPr>
        <w:t>I</w:t>
      </w:r>
      <w:r w:rsidRPr="008B43F6">
        <w:rPr>
          <w:rFonts w:cs="TimesNewRoman"/>
        </w:rPr>
        <w:t>) , la seguridad, el ruido, la humedad y el crecimiento de moho; las temperaturas internas, el asbesto, el plomo, el radón, los compuestos orgánicos volátiles (COV), la falta de higiene y de equipos de saneamiento y el hacinamiento, son algunas de las principales amenazas para la salud que pueden ser encontradas en las viviendas. Aunque tales impactos son ampliamente aceptados, hasta ahora la relación concreta entre la calidad ambiental y la salud / bienestar no ha sido plenamente comprendida. La falta de higiene y saneamiento, así como el hacinamiento, siguen siendo problemas básicos típicos de los asentamientos en crecimiento y de las mega ciudades, la mayoría de los cuales se encuentran en países en desarrollo</w:t>
      </w:r>
      <w:r w:rsidRPr="008B43F6">
        <w:rPr>
          <w:lang w:val="es-ES"/>
        </w:rPr>
        <w:t xml:space="preserve"> </w:t>
      </w:r>
      <w:r w:rsidRPr="008B43F6">
        <w:rPr>
          <w:rFonts w:cs="TimesNewRoman"/>
          <w:lang w:val="en-US"/>
        </w:rPr>
        <w:fldChar w:fldCharType="begin"/>
      </w:r>
      <w:r w:rsidR="00251C87" w:rsidRPr="00251C87">
        <w:rPr>
          <w:rFonts w:cs="TimesNewRoman"/>
        </w:rPr>
        <w:instrText xml:space="preserve"> ADDIN EN.CITE &lt;EndNote&gt;&lt;Cite&gt;&lt;Author&gt;Bonnefoy&lt;/Author&gt;&lt;Year&gt;2007&lt;/Year&gt;&lt;RecNum&gt;46&lt;/RecNum&gt;&lt;DisplayText&gt;[51]&lt;/DisplayText&gt;&lt;record&gt;&lt;rec-number&gt;46&lt;/rec-number&gt;&lt;foreign-keys&gt;&lt;key app="EN" db-id="w0w9edzzlxxfdgesvf359ft8wzxverspwaav"&gt;46&lt;/key&gt;&lt;/foreign-keys&gt;&lt;ref-type name="Journal Article"&gt;17&lt;/ref-type&gt;&lt;contributors&gt;&lt;authors&gt;&lt;author&gt;Xavier Bonnefoy&lt;/author&gt;&lt;/authors&gt;&lt;/contributors&gt;&lt;titles&gt;&lt;title&gt;Inadequate housing and health: an overview&lt;/title&gt;&lt;secondary-title&gt;International Journal of Environment and Pollution&lt;/secondary-title&gt;&lt;/titles&gt;&lt;periodical&gt;&lt;full-title&gt;International Journal of Environment and Pollution&lt;/full-title&gt;&lt;/periodical&gt;&lt;pages&gt;411-429&lt;/pages&gt;&lt;volume&gt;30&lt;/volume&gt;&lt;number&gt;3/4&lt;/number&gt;&lt;dates&gt;&lt;year&gt;2007&lt;/year&gt;&lt;/dates&gt;&lt;urls&gt;&lt;related-urls&gt;&lt;url&gt;http://www.euro.who.int/__data/assets/pdf_file/0017/121832/E90676.pdf&lt;/url&gt;&lt;/related-urls&gt;&lt;/urls&gt;&lt;/record&gt;&lt;/Cite&gt;&lt;/EndNote&gt;</w:instrText>
      </w:r>
      <w:r w:rsidRPr="008B43F6">
        <w:rPr>
          <w:rFonts w:cs="TimesNewRoman"/>
          <w:lang w:val="en-US"/>
        </w:rPr>
        <w:fldChar w:fldCharType="separate"/>
      </w:r>
      <w:r w:rsidR="00251C87" w:rsidRPr="00251C87">
        <w:rPr>
          <w:rFonts w:cs="TimesNewRoman"/>
          <w:noProof/>
        </w:rPr>
        <w:t>[</w:t>
      </w:r>
      <w:hyperlink w:anchor="_ENREF_51" w:tooltip="Bonnefoy, 2007 #46" w:history="1">
        <w:r w:rsidR="00251C87" w:rsidRPr="00251C87">
          <w:rPr>
            <w:rFonts w:cs="TimesNewRoman"/>
            <w:noProof/>
          </w:rPr>
          <w:t>51</w:t>
        </w:r>
      </w:hyperlink>
      <w:r w:rsidR="00251C87" w:rsidRPr="00251C87">
        <w:rPr>
          <w:rFonts w:cs="TimesNewRoman"/>
          <w:noProof/>
        </w:rPr>
        <w:t>]</w:t>
      </w:r>
      <w:r w:rsidRPr="008B43F6">
        <w:rPr>
          <w:rFonts w:cs="TimesNewRoman"/>
          <w:lang w:val="en-US"/>
        </w:rPr>
        <w:fldChar w:fldCharType="end"/>
      </w:r>
    </w:p>
    <w:p w:rsidR="002C0CCF" w:rsidRPr="008B43F6" w:rsidRDefault="002C0CCF" w:rsidP="00C92E54">
      <w:pPr>
        <w:rPr>
          <w:rStyle w:val="hps"/>
          <w:lang w:val="es-ES"/>
        </w:rPr>
      </w:pPr>
      <w:r w:rsidRPr="008B43F6">
        <w:rPr>
          <w:rStyle w:val="hps"/>
          <w:lang w:val="es-ES"/>
        </w:rPr>
        <w:t>La Tabla</w:t>
      </w:r>
      <w:r w:rsidRPr="008B43F6">
        <w:rPr>
          <w:lang w:val="es-ES"/>
        </w:rPr>
        <w:t xml:space="preserve"> </w:t>
      </w:r>
      <w:r w:rsidRPr="008B43F6">
        <w:rPr>
          <w:rStyle w:val="hps"/>
          <w:lang w:val="es-ES"/>
        </w:rPr>
        <w:t>1 ofrece algunos ejemplos de</w:t>
      </w:r>
      <w:r w:rsidRPr="008B43F6">
        <w:rPr>
          <w:lang w:val="es-ES"/>
        </w:rPr>
        <w:t xml:space="preserve"> los </w:t>
      </w:r>
      <w:r w:rsidRPr="008B43F6">
        <w:rPr>
          <w:rStyle w:val="hps"/>
          <w:lang w:val="es-ES"/>
        </w:rPr>
        <w:t>riesgos de salud ambiental relacionados con</w:t>
      </w:r>
      <w:r w:rsidRPr="008B43F6">
        <w:rPr>
          <w:lang w:val="es-ES"/>
        </w:rPr>
        <w:t xml:space="preserve"> </w:t>
      </w:r>
      <w:r w:rsidRPr="008B43F6">
        <w:rPr>
          <w:rStyle w:val="hps"/>
          <w:lang w:val="es-ES"/>
        </w:rPr>
        <w:t>la vivienda,</w:t>
      </w:r>
      <w:r w:rsidRPr="008B43F6">
        <w:rPr>
          <w:lang w:val="es-ES"/>
        </w:rPr>
        <w:t xml:space="preserve"> </w:t>
      </w:r>
      <w:r w:rsidRPr="008B43F6">
        <w:rPr>
          <w:rStyle w:val="hps"/>
          <w:lang w:val="es-ES"/>
        </w:rPr>
        <w:t>los posibles efectos en la salud y las medidas</w:t>
      </w:r>
      <w:r w:rsidRPr="008B43F6">
        <w:rPr>
          <w:lang w:val="es-ES"/>
        </w:rPr>
        <w:t xml:space="preserve"> </w:t>
      </w:r>
      <w:r w:rsidRPr="008B43F6">
        <w:rPr>
          <w:rStyle w:val="hps"/>
          <w:lang w:val="es-ES"/>
        </w:rPr>
        <w:t>de eficiencia energética</w:t>
      </w:r>
      <w:r w:rsidRPr="008B43F6">
        <w:rPr>
          <w:lang w:val="es-ES"/>
        </w:rPr>
        <w:t xml:space="preserve"> </w:t>
      </w:r>
      <w:r w:rsidRPr="008B43F6">
        <w:rPr>
          <w:rStyle w:val="hps"/>
          <w:lang w:val="es-ES"/>
        </w:rPr>
        <w:t>que ayudan a</w:t>
      </w:r>
      <w:r w:rsidRPr="008B43F6">
        <w:rPr>
          <w:lang w:val="es-ES"/>
        </w:rPr>
        <w:t xml:space="preserve"> </w:t>
      </w:r>
      <w:r w:rsidRPr="008B43F6">
        <w:rPr>
          <w:rStyle w:val="hps"/>
          <w:lang w:val="es-ES"/>
        </w:rPr>
        <w:t xml:space="preserve">mitigarlos. </w:t>
      </w:r>
    </w:p>
    <w:p w:rsidR="002C0CCF" w:rsidRPr="008B43F6" w:rsidRDefault="002C0CCF" w:rsidP="00C92E54">
      <w:pPr>
        <w:autoSpaceDE w:val="0"/>
        <w:autoSpaceDN w:val="0"/>
        <w:adjustRightInd w:val="0"/>
        <w:spacing w:after="0"/>
        <w:rPr>
          <w:rFonts w:cs="TimesNewRoman"/>
        </w:rPr>
      </w:pPr>
    </w:p>
    <w:p w:rsidR="002C0CCF" w:rsidRPr="008B43F6" w:rsidRDefault="002C0CCF" w:rsidP="00C92E54">
      <w:pPr>
        <w:rPr>
          <w:rStyle w:val="hps"/>
          <w:lang w:val="es-ES"/>
        </w:rPr>
      </w:pPr>
      <w:r w:rsidRPr="008B43F6">
        <w:rPr>
          <w:rStyle w:val="hps"/>
          <w:lang w:val="es-ES"/>
        </w:rPr>
        <w:br w:type="page"/>
      </w:r>
    </w:p>
    <w:p w:rsidR="002C0CCF" w:rsidRPr="008B43F6" w:rsidRDefault="002C0CCF" w:rsidP="00C92E54">
      <w:pPr>
        <w:rPr>
          <w:b/>
          <w:sz w:val="18"/>
          <w:szCs w:val="18"/>
        </w:rPr>
      </w:pPr>
      <w:r w:rsidRPr="008B43F6">
        <w:rPr>
          <w:b/>
          <w:sz w:val="18"/>
          <w:szCs w:val="18"/>
        </w:rPr>
        <w:lastRenderedPageBreak/>
        <w:t xml:space="preserve">Tabla 1. </w:t>
      </w:r>
      <w:r w:rsidRPr="008B43F6">
        <w:rPr>
          <w:rFonts w:cstheme="minorHAnsi"/>
          <w:bCs/>
          <w:sz w:val="18"/>
          <w:szCs w:val="18"/>
        </w:rPr>
        <w:t>Co-beneficios de salud y riesgos derivados de medidas específicas de mitigación definidas por la Organización Mundial de la Salud</w:t>
      </w:r>
    </w:p>
    <w:tbl>
      <w:tblPr>
        <w:tblW w:w="8980" w:type="dxa"/>
        <w:tblInd w:w="93" w:type="dxa"/>
        <w:tblLook w:val="04A0" w:firstRow="1" w:lastRow="0" w:firstColumn="1" w:lastColumn="0" w:noHBand="0" w:noVBand="1"/>
      </w:tblPr>
      <w:tblGrid>
        <w:gridCol w:w="1660"/>
        <w:gridCol w:w="3580"/>
        <w:gridCol w:w="3740"/>
      </w:tblGrid>
      <w:tr w:rsidR="002C0CCF" w:rsidRPr="008B43F6" w:rsidTr="00F14047">
        <w:trPr>
          <w:trHeight w:val="300"/>
        </w:trPr>
        <w:tc>
          <w:tcPr>
            <w:tcW w:w="1660" w:type="dxa"/>
            <w:tcBorders>
              <w:top w:val="nil"/>
              <w:left w:val="nil"/>
              <w:bottom w:val="nil"/>
              <w:right w:val="nil"/>
            </w:tcBorders>
            <w:shd w:val="clear" w:color="000000" w:fill="8DB4E2"/>
            <w:noWrap/>
            <w:hideMark/>
          </w:tcPr>
          <w:p w:rsidR="002C0CCF" w:rsidRPr="008B43F6" w:rsidRDefault="002C0CCF" w:rsidP="00C92E54">
            <w:pPr>
              <w:spacing w:after="0"/>
              <w:jc w:val="center"/>
              <w:rPr>
                <w:rFonts w:eastAsia="Times New Roman" w:cs="Calibri"/>
                <w:b/>
                <w:bCs/>
                <w:color w:val="FFFFFF"/>
                <w:sz w:val="20"/>
                <w:szCs w:val="20"/>
              </w:rPr>
            </w:pPr>
            <w:r w:rsidRPr="008B43F6">
              <w:rPr>
                <w:rFonts w:eastAsia="Times New Roman" w:cs="Calibri"/>
                <w:b/>
                <w:bCs/>
                <w:color w:val="FFFFFF"/>
                <w:sz w:val="20"/>
                <w:szCs w:val="20"/>
              </w:rPr>
              <w:t>Estrategia de mitigación</w:t>
            </w:r>
          </w:p>
        </w:tc>
        <w:tc>
          <w:tcPr>
            <w:tcW w:w="3580" w:type="dxa"/>
            <w:tcBorders>
              <w:top w:val="nil"/>
              <w:left w:val="nil"/>
              <w:bottom w:val="nil"/>
              <w:right w:val="nil"/>
            </w:tcBorders>
            <w:shd w:val="clear" w:color="000000" w:fill="8DB4E2"/>
            <w:noWrap/>
            <w:hideMark/>
          </w:tcPr>
          <w:p w:rsidR="002C0CCF" w:rsidRPr="008B43F6" w:rsidRDefault="002C0CCF" w:rsidP="00C92E54">
            <w:pPr>
              <w:spacing w:after="0"/>
              <w:jc w:val="center"/>
              <w:rPr>
                <w:rFonts w:eastAsia="Times New Roman" w:cs="Calibri"/>
                <w:b/>
                <w:bCs/>
                <w:color w:val="FFFFFF"/>
                <w:sz w:val="20"/>
                <w:szCs w:val="20"/>
              </w:rPr>
            </w:pPr>
            <w:r w:rsidRPr="008B43F6">
              <w:rPr>
                <w:rFonts w:eastAsia="Times New Roman" w:cs="Calibri"/>
                <w:b/>
                <w:bCs/>
                <w:color w:val="FFFFFF"/>
                <w:sz w:val="20"/>
                <w:szCs w:val="20"/>
              </w:rPr>
              <w:t>Co-beneficios probables en materia de salud</w:t>
            </w:r>
          </w:p>
        </w:tc>
        <w:tc>
          <w:tcPr>
            <w:tcW w:w="3740" w:type="dxa"/>
            <w:tcBorders>
              <w:top w:val="nil"/>
              <w:left w:val="nil"/>
              <w:bottom w:val="nil"/>
              <w:right w:val="nil"/>
            </w:tcBorders>
            <w:shd w:val="clear" w:color="000000" w:fill="8DB4E2"/>
            <w:noWrap/>
            <w:hideMark/>
          </w:tcPr>
          <w:p w:rsidR="002C0CCF" w:rsidRPr="008B43F6" w:rsidRDefault="002C0CCF" w:rsidP="00C92E54">
            <w:pPr>
              <w:spacing w:after="0"/>
              <w:jc w:val="center"/>
              <w:rPr>
                <w:rFonts w:eastAsia="Times New Roman" w:cs="Calibri"/>
                <w:b/>
                <w:bCs/>
                <w:color w:val="FFFFFF"/>
                <w:sz w:val="20"/>
                <w:szCs w:val="20"/>
              </w:rPr>
            </w:pPr>
            <w:r w:rsidRPr="008B43F6">
              <w:rPr>
                <w:rFonts w:eastAsia="Times New Roman" w:cs="Calibri"/>
                <w:b/>
                <w:bCs/>
                <w:color w:val="FFFFFF"/>
                <w:sz w:val="20"/>
                <w:szCs w:val="20"/>
              </w:rPr>
              <w:t>Riesgos de salud que deben ser evitados.</w:t>
            </w:r>
          </w:p>
        </w:tc>
      </w:tr>
      <w:tr w:rsidR="002C0CCF" w:rsidRPr="008B43F6" w:rsidTr="00F14047">
        <w:trPr>
          <w:trHeight w:val="900"/>
        </w:trPr>
        <w:tc>
          <w:tcPr>
            <w:tcW w:w="1660" w:type="dxa"/>
            <w:vMerge w:val="restart"/>
            <w:tcBorders>
              <w:top w:val="single" w:sz="8" w:space="0" w:color="808080"/>
              <w:left w:val="single" w:sz="8" w:space="0" w:color="808080"/>
              <w:bottom w:val="single" w:sz="8" w:space="0" w:color="808080"/>
              <w:right w:val="single" w:sz="4" w:space="0" w:color="808080"/>
            </w:tcBorders>
            <w:shd w:val="clear" w:color="auto" w:fill="auto"/>
            <w:hideMark/>
          </w:tcPr>
          <w:p w:rsidR="002C0CCF" w:rsidRPr="008B43F6" w:rsidRDefault="002C0CCF" w:rsidP="00C92E54">
            <w:pPr>
              <w:spacing w:after="0"/>
              <w:rPr>
                <w:rFonts w:eastAsia="Times New Roman" w:cs="Calibri"/>
                <w:b/>
                <w:bCs/>
                <w:color w:val="000000"/>
                <w:sz w:val="19"/>
                <w:szCs w:val="19"/>
                <w:lang w:eastAsia="es-ES"/>
              </w:rPr>
            </w:pPr>
            <w:r w:rsidRPr="008B43F6">
              <w:rPr>
                <w:rFonts w:eastAsia="Times New Roman" w:cs="Calibri"/>
                <w:b/>
                <w:bCs/>
                <w:color w:val="000000"/>
                <w:sz w:val="19"/>
                <w:szCs w:val="19"/>
                <w:lang w:eastAsia="es-ES"/>
              </w:rPr>
              <w:t>Mejoramiento de la eficiencia térmica del revestimiento de las construcciones.</w:t>
            </w:r>
          </w:p>
          <w:p w:rsidR="002C0CCF" w:rsidRPr="008B43F6" w:rsidRDefault="002C0CCF" w:rsidP="00C92E54">
            <w:pPr>
              <w:spacing w:after="0"/>
              <w:rPr>
                <w:rFonts w:eastAsia="Times New Roman" w:cs="Calibri"/>
                <w:b/>
                <w:bCs/>
                <w:color w:val="000000"/>
                <w:sz w:val="19"/>
                <w:szCs w:val="19"/>
                <w:lang w:eastAsia="es-ES"/>
              </w:rPr>
            </w:pPr>
            <w:r w:rsidRPr="008B43F6">
              <w:rPr>
                <w:rFonts w:eastAsia="Times New Roman" w:cs="Calibri"/>
                <w:b/>
                <w:bCs/>
                <w:color w:val="000000"/>
                <w:sz w:val="19"/>
                <w:szCs w:val="19"/>
                <w:lang w:eastAsia="es-ES"/>
              </w:rPr>
              <w:br/>
              <w:t>(IPCC 6.4.2)</w:t>
            </w:r>
          </w:p>
          <w:p w:rsidR="002C0CCF" w:rsidRPr="008B43F6" w:rsidRDefault="002C0CCF" w:rsidP="00C92E54">
            <w:pPr>
              <w:spacing w:after="0"/>
              <w:rPr>
                <w:rFonts w:eastAsia="Times New Roman" w:cs="Calibri"/>
                <w:b/>
                <w:bCs/>
                <w:color w:val="000000"/>
                <w:sz w:val="19"/>
                <w:szCs w:val="19"/>
              </w:rPr>
            </w:pPr>
          </w:p>
        </w:tc>
        <w:tc>
          <w:tcPr>
            <w:tcW w:w="3580" w:type="dxa"/>
            <w:tcBorders>
              <w:top w:val="single" w:sz="8" w:space="0" w:color="808080"/>
              <w:left w:val="nil"/>
              <w:bottom w:val="single" w:sz="4" w:space="0" w:color="808080"/>
              <w:right w:val="single" w:sz="4" w:space="0" w:color="808080"/>
            </w:tcBorders>
            <w:shd w:val="clear" w:color="auto" w:fill="auto"/>
            <w:hideMark/>
          </w:tcPr>
          <w:p w:rsidR="002C0CCF" w:rsidRPr="008B43F6" w:rsidRDefault="002C0CCF" w:rsidP="00C92E54">
            <w:pPr>
              <w:rPr>
                <w:rFonts w:eastAsia="Times New Roman" w:cs="Calibri"/>
                <w:color w:val="000000"/>
                <w:sz w:val="19"/>
                <w:szCs w:val="19"/>
              </w:rPr>
            </w:pPr>
            <w:r w:rsidRPr="008B43F6">
              <w:rPr>
                <w:rFonts w:cs="Calibri"/>
                <w:b/>
                <w:bCs/>
                <w:color w:val="000000"/>
                <w:sz w:val="19"/>
                <w:szCs w:val="19"/>
              </w:rPr>
              <w:t>Exposición al medio ambiente</w:t>
            </w:r>
            <w:r w:rsidRPr="008B43F6">
              <w:rPr>
                <w:rFonts w:cs="Calibri"/>
                <w:color w:val="000000"/>
                <w:sz w:val="19"/>
                <w:szCs w:val="19"/>
              </w:rPr>
              <w:br/>
            </w:r>
            <w:r w:rsidRPr="008B43F6">
              <w:rPr>
                <w:rFonts w:eastAsia="Times New Roman" w:cs="Calibri"/>
                <w:color w:val="000000"/>
                <w:sz w:val="19"/>
                <w:szCs w:val="19"/>
              </w:rPr>
              <w:t>Comodidad térmica</w:t>
            </w:r>
            <w:r w:rsidRPr="008B43F6">
              <w:rPr>
                <w:rFonts w:eastAsia="Times New Roman" w:cs="Calibri"/>
                <w:color w:val="000000"/>
                <w:sz w:val="19"/>
                <w:szCs w:val="19"/>
              </w:rPr>
              <w:br/>
              <w:t>Reducción en la exposición al ruido</w:t>
            </w:r>
          </w:p>
        </w:tc>
        <w:tc>
          <w:tcPr>
            <w:tcW w:w="3740" w:type="dxa"/>
            <w:vMerge w:val="restart"/>
            <w:tcBorders>
              <w:top w:val="single" w:sz="8" w:space="0" w:color="808080"/>
              <w:left w:val="single" w:sz="4" w:space="0" w:color="808080"/>
              <w:bottom w:val="single" w:sz="8" w:space="0" w:color="808080"/>
              <w:right w:val="single" w:sz="8" w:space="0" w:color="808080"/>
            </w:tcBorders>
            <w:shd w:val="clear" w:color="auto" w:fill="auto"/>
            <w:hideMark/>
          </w:tcPr>
          <w:p w:rsidR="002C0CCF" w:rsidRPr="008B43F6" w:rsidRDefault="002C0CCF" w:rsidP="00C92E54">
            <w:pPr>
              <w:spacing w:after="0"/>
              <w:rPr>
                <w:rFonts w:eastAsia="Times New Roman" w:cs="Calibri"/>
                <w:color w:val="000000"/>
                <w:sz w:val="19"/>
                <w:szCs w:val="19"/>
                <w:lang w:eastAsia="es-ES"/>
              </w:rPr>
            </w:pPr>
            <w:r w:rsidRPr="008B43F6">
              <w:rPr>
                <w:rFonts w:eastAsia="Times New Roman" w:cs="Calibri"/>
                <w:b/>
                <w:color w:val="000000"/>
                <w:sz w:val="19"/>
                <w:szCs w:val="19"/>
              </w:rPr>
              <w:t>Riesgos de una ventilación inadecuada:</w:t>
            </w:r>
            <w:r w:rsidRPr="008B43F6">
              <w:rPr>
                <w:rFonts w:eastAsia="Times New Roman" w:cs="Calibri"/>
                <w:color w:val="000000"/>
                <w:sz w:val="19"/>
                <w:szCs w:val="19"/>
                <w:lang w:eastAsia="es-ES"/>
              </w:rPr>
              <w:br/>
              <w:t>a) Reducción de la calidad del aire al interior de las viviendas, lo cual conlleva a un incremento potencial en la concentración de contaminantes característicos en este tipo de ambientes (por ejemplo, radón, moho y humedad) que causan asma, obstrucción bronquial y otras enfermedades</w:t>
            </w:r>
            <w:r w:rsidRPr="008B43F6">
              <w:rPr>
                <w:rFonts w:eastAsia="Times New Roman" w:cs="Calibri"/>
                <w:color w:val="000000"/>
                <w:sz w:val="19"/>
                <w:szCs w:val="19"/>
                <w:lang w:eastAsia="es-ES"/>
              </w:rPr>
              <w:br/>
              <w:t>b) Aumento en el contagio de infecciones transmitidas por vectores en el aire (por ejemplo, la tuberculosis); riesgo de exposición a materiales y fibras de aislamiento que son nocivas para la salud, ya que causan cáncer y otras enfermedades.</w:t>
            </w:r>
          </w:p>
          <w:p w:rsidR="002C0CCF" w:rsidRPr="008B43F6" w:rsidRDefault="002C0CCF" w:rsidP="00C92E54">
            <w:pPr>
              <w:spacing w:after="0"/>
              <w:rPr>
                <w:rFonts w:eastAsia="Times New Roman" w:cs="Calibri"/>
                <w:color w:val="000000"/>
                <w:sz w:val="19"/>
                <w:szCs w:val="19"/>
              </w:rPr>
            </w:pPr>
          </w:p>
        </w:tc>
      </w:tr>
      <w:tr w:rsidR="002C0CCF" w:rsidRPr="008B43F6" w:rsidTr="00F14047">
        <w:trPr>
          <w:trHeight w:val="2100"/>
        </w:trPr>
        <w:tc>
          <w:tcPr>
            <w:tcW w:w="1660" w:type="dxa"/>
            <w:vMerge/>
            <w:tcBorders>
              <w:top w:val="single" w:sz="8" w:space="0" w:color="808080"/>
              <w:left w:val="single" w:sz="8" w:space="0" w:color="808080"/>
              <w:bottom w:val="single" w:sz="8" w:space="0" w:color="808080"/>
              <w:right w:val="single" w:sz="4" w:space="0" w:color="808080"/>
            </w:tcBorders>
            <w:vAlign w:val="center"/>
            <w:hideMark/>
          </w:tcPr>
          <w:p w:rsidR="002C0CCF" w:rsidRPr="008B43F6" w:rsidRDefault="002C0CCF" w:rsidP="00C92E54">
            <w:pPr>
              <w:spacing w:after="0"/>
              <w:jc w:val="both"/>
              <w:rPr>
                <w:rFonts w:eastAsia="Times New Roman" w:cs="Calibri"/>
                <w:b/>
                <w:bCs/>
                <w:color w:val="000000"/>
                <w:sz w:val="19"/>
                <w:szCs w:val="19"/>
              </w:rPr>
            </w:pPr>
          </w:p>
        </w:tc>
        <w:tc>
          <w:tcPr>
            <w:tcW w:w="3580" w:type="dxa"/>
            <w:tcBorders>
              <w:top w:val="nil"/>
              <w:left w:val="nil"/>
              <w:bottom w:val="single" w:sz="4" w:space="0" w:color="808080"/>
              <w:right w:val="single" w:sz="4" w:space="0" w:color="808080"/>
            </w:tcBorders>
            <w:shd w:val="clear" w:color="auto" w:fill="auto"/>
            <w:hideMark/>
          </w:tcPr>
          <w:p w:rsidR="002C0CCF" w:rsidRPr="008B43F6" w:rsidRDefault="002C0CCF" w:rsidP="00C92E54">
            <w:pPr>
              <w:spacing w:after="0"/>
              <w:rPr>
                <w:rFonts w:eastAsia="Times New Roman" w:cs="Calibri"/>
                <w:b/>
                <w:bCs/>
                <w:color w:val="000000"/>
                <w:sz w:val="19"/>
                <w:szCs w:val="19"/>
              </w:rPr>
            </w:pPr>
            <w:r w:rsidRPr="008B43F6">
              <w:rPr>
                <w:rFonts w:eastAsia="Times New Roman" w:cs="Calibri"/>
                <w:b/>
                <w:bCs/>
                <w:color w:val="000000"/>
                <w:sz w:val="19"/>
                <w:szCs w:val="19"/>
              </w:rPr>
              <w:t>Reducción de los riesgos por enfermedad</w:t>
            </w:r>
          </w:p>
          <w:p w:rsidR="002C0CCF" w:rsidRPr="008B43F6" w:rsidRDefault="002C0CCF" w:rsidP="00C92E54">
            <w:pPr>
              <w:spacing w:after="0"/>
              <w:rPr>
                <w:rFonts w:eastAsia="Times New Roman" w:cs="Calibri"/>
                <w:color w:val="000000"/>
                <w:sz w:val="19"/>
                <w:szCs w:val="19"/>
              </w:rPr>
            </w:pPr>
            <w:r w:rsidRPr="008B43F6">
              <w:rPr>
                <w:rFonts w:eastAsia="Times New Roman" w:cs="Calibri"/>
                <w:bCs/>
                <w:color w:val="000000"/>
                <w:sz w:val="19"/>
                <w:szCs w:val="19"/>
              </w:rPr>
              <w:t>Reducción de las enfermedades cardio-vasculares, obstrucción bronquial, asma, y otras enfermedades respiratorias</w:t>
            </w:r>
            <w:r w:rsidRPr="008B43F6">
              <w:rPr>
                <w:rFonts w:eastAsia="Times New Roman" w:cs="Calibri"/>
                <w:bCs/>
                <w:color w:val="000000"/>
                <w:sz w:val="19"/>
                <w:szCs w:val="19"/>
              </w:rPr>
              <w:br/>
              <w:t>Reducción de enfermedades epidemiológicas causadas por plagas e insectos</w:t>
            </w:r>
            <w:r w:rsidRPr="008B43F6">
              <w:rPr>
                <w:rFonts w:eastAsia="Times New Roman" w:cs="Calibri"/>
                <w:bCs/>
                <w:color w:val="000000"/>
                <w:sz w:val="19"/>
                <w:szCs w:val="19"/>
              </w:rPr>
              <w:br/>
              <w:t>Mejora en la salud mental en función del confort térmico</w:t>
            </w:r>
          </w:p>
        </w:tc>
        <w:tc>
          <w:tcPr>
            <w:tcW w:w="3740" w:type="dxa"/>
            <w:vMerge/>
            <w:tcBorders>
              <w:top w:val="single" w:sz="8" w:space="0" w:color="808080"/>
              <w:left w:val="single" w:sz="4" w:space="0" w:color="808080"/>
              <w:bottom w:val="single" w:sz="8" w:space="0" w:color="808080"/>
              <w:right w:val="single" w:sz="8" w:space="0" w:color="808080"/>
            </w:tcBorders>
            <w:vAlign w:val="center"/>
            <w:hideMark/>
          </w:tcPr>
          <w:p w:rsidR="002C0CCF" w:rsidRPr="008B43F6" w:rsidRDefault="002C0CCF" w:rsidP="00C92E54">
            <w:pPr>
              <w:spacing w:after="0"/>
              <w:rPr>
                <w:rFonts w:eastAsia="Times New Roman" w:cs="Calibri"/>
                <w:color w:val="000000"/>
                <w:sz w:val="20"/>
                <w:szCs w:val="20"/>
              </w:rPr>
            </w:pPr>
          </w:p>
        </w:tc>
      </w:tr>
      <w:tr w:rsidR="002C0CCF" w:rsidRPr="008B43F6" w:rsidTr="00F14047">
        <w:trPr>
          <w:trHeight w:val="915"/>
        </w:trPr>
        <w:tc>
          <w:tcPr>
            <w:tcW w:w="1660" w:type="dxa"/>
            <w:vMerge/>
            <w:tcBorders>
              <w:top w:val="single" w:sz="8" w:space="0" w:color="808080"/>
              <w:left w:val="single" w:sz="8" w:space="0" w:color="808080"/>
              <w:bottom w:val="single" w:sz="8" w:space="0" w:color="808080"/>
              <w:right w:val="single" w:sz="4" w:space="0" w:color="808080"/>
            </w:tcBorders>
            <w:vAlign w:val="center"/>
            <w:hideMark/>
          </w:tcPr>
          <w:p w:rsidR="002C0CCF" w:rsidRPr="008B43F6" w:rsidRDefault="002C0CCF" w:rsidP="00C92E54">
            <w:pPr>
              <w:spacing w:after="0"/>
              <w:jc w:val="both"/>
              <w:rPr>
                <w:rFonts w:eastAsia="Times New Roman" w:cs="Calibri"/>
                <w:b/>
                <w:bCs/>
                <w:color w:val="000000"/>
                <w:sz w:val="19"/>
                <w:szCs w:val="19"/>
              </w:rPr>
            </w:pPr>
          </w:p>
        </w:tc>
        <w:tc>
          <w:tcPr>
            <w:tcW w:w="3580" w:type="dxa"/>
            <w:tcBorders>
              <w:top w:val="nil"/>
              <w:left w:val="nil"/>
              <w:bottom w:val="single" w:sz="8" w:space="0" w:color="808080"/>
              <w:right w:val="single" w:sz="4" w:space="0" w:color="808080"/>
            </w:tcBorders>
            <w:shd w:val="clear" w:color="auto" w:fill="auto"/>
            <w:hideMark/>
          </w:tcPr>
          <w:p w:rsidR="002C0CCF" w:rsidRPr="008B43F6" w:rsidRDefault="002C0CCF" w:rsidP="00C92E54">
            <w:pPr>
              <w:rPr>
                <w:rFonts w:eastAsia="Times New Roman" w:cs="Calibri"/>
                <w:color w:val="000000"/>
                <w:sz w:val="19"/>
                <w:szCs w:val="19"/>
              </w:rPr>
            </w:pPr>
            <w:r w:rsidRPr="008B43F6">
              <w:rPr>
                <w:rFonts w:cs="Calibri"/>
                <w:b/>
                <w:bCs/>
                <w:color w:val="000000"/>
                <w:sz w:val="19"/>
                <w:szCs w:val="19"/>
              </w:rPr>
              <w:t>Impactos de equidad</w:t>
            </w:r>
            <w:r w:rsidRPr="008B43F6">
              <w:rPr>
                <w:rFonts w:cs="Calibri"/>
                <w:color w:val="000000"/>
                <w:sz w:val="19"/>
                <w:szCs w:val="19"/>
              </w:rPr>
              <w:br/>
            </w:r>
            <w:r w:rsidRPr="008B43F6">
              <w:rPr>
                <w:rFonts w:eastAsia="Times New Roman" w:cs="Calibri"/>
                <w:color w:val="000000"/>
                <w:sz w:val="19"/>
                <w:szCs w:val="19"/>
              </w:rPr>
              <w:t>Dependen del acceso de los pobres a las mejoras</w:t>
            </w:r>
          </w:p>
        </w:tc>
        <w:tc>
          <w:tcPr>
            <w:tcW w:w="3740" w:type="dxa"/>
            <w:vMerge/>
            <w:tcBorders>
              <w:top w:val="single" w:sz="8" w:space="0" w:color="808080"/>
              <w:left w:val="single" w:sz="4" w:space="0" w:color="808080"/>
              <w:bottom w:val="single" w:sz="8" w:space="0" w:color="808080"/>
              <w:right w:val="single" w:sz="8" w:space="0" w:color="808080"/>
            </w:tcBorders>
            <w:vAlign w:val="center"/>
            <w:hideMark/>
          </w:tcPr>
          <w:p w:rsidR="002C0CCF" w:rsidRPr="008B43F6" w:rsidRDefault="002C0CCF" w:rsidP="00C92E54">
            <w:pPr>
              <w:spacing w:after="0"/>
              <w:rPr>
                <w:rFonts w:eastAsia="Times New Roman" w:cs="Calibri"/>
                <w:color w:val="000000"/>
                <w:sz w:val="20"/>
                <w:szCs w:val="20"/>
              </w:rPr>
            </w:pPr>
          </w:p>
        </w:tc>
      </w:tr>
      <w:tr w:rsidR="002C0CCF" w:rsidRPr="008B43F6" w:rsidTr="00F14047">
        <w:trPr>
          <w:trHeight w:val="900"/>
        </w:trPr>
        <w:tc>
          <w:tcPr>
            <w:tcW w:w="1660" w:type="dxa"/>
            <w:vMerge w:val="restart"/>
            <w:tcBorders>
              <w:top w:val="nil"/>
              <w:left w:val="single" w:sz="8" w:space="0" w:color="808080"/>
              <w:bottom w:val="single" w:sz="8" w:space="0" w:color="808080"/>
              <w:right w:val="single" w:sz="4" w:space="0" w:color="808080"/>
            </w:tcBorders>
            <w:shd w:val="clear" w:color="auto" w:fill="auto"/>
            <w:hideMark/>
          </w:tcPr>
          <w:p w:rsidR="002C0CCF" w:rsidRPr="008B43F6" w:rsidRDefault="002C0CCF" w:rsidP="00C92E54">
            <w:pPr>
              <w:spacing w:after="0"/>
              <w:rPr>
                <w:rFonts w:eastAsia="Times New Roman" w:cs="Calibri"/>
                <w:b/>
                <w:bCs/>
                <w:color w:val="000000"/>
                <w:sz w:val="19"/>
                <w:szCs w:val="19"/>
              </w:rPr>
            </w:pPr>
            <w:r w:rsidRPr="008B43F6">
              <w:rPr>
                <w:rFonts w:eastAsia="Times New Roman" w:cs="Calibri"/>
                <w:b/>
                <w:bCs/>
                <w:color w:val="000000"/>
                <w:sz w:val="19"/>
                <w:szCs w:val="19"/>
              </w:rPr>
              <w:t>Sistemas de calefacción de emisiones bajas en carbono y diseño solar pasivo</w:t>
            </w:r>
          </w:p>
          <w:p w:rsidR="002C0CCF" w:rsidRPr="008B43F6" w:rsidRDefault="002C0CCF" w:rsidP="00C92E54">
            <w:pPr>
              <w:spacing w:after="0"/>
              <w:jc w:val="both"/>
              <w:rPr>
                <w:rFonts w:eastAsia="Times New Roman" w:cs="Calibri"/>
                <w:b/>
                <w:bCs/>
                <w:color w:val="000000"/>
                <w:sz w:val="19"/>
                <w:szCs w:val="19"/>
              </w:rPr>
            </w:pPr>
            <w:r w:rsidRPr="008B43F6">
              <w:rPr>
                <w:rFonts w:eastAsia="Times New Roman" w:cs="Calibri"/>
                <w:b/>
                <w:bCs/>
                <w:color w:val="000000"/>
                <w:sz w:val="19"/>
                <w:szCs w:val="19"/>
              </w:rPr>
              <w:br/>
              <w:t xml:space="preserve"> (IPCC 6.4.3, 6.4.6–7)</w:t>
            </w:r>
          </w:p>
          <w:p w:rsidR="002C0CCF" w:rsidRPr="008B43F6" w:rsidRDefault="002C0CCF" w:rsidP="00C92E54">
            <w:pPr>
              <w:spacing w:after="0"/>
              <w:jc w:val="both"/>
              <w:rPr>
                <w:rFonts w:eastAsia="Times New Roman" w:cs="Calibri"/>
                <w:b/>
                <w:bCs/>
                <w:color w:val="000000"/>
                <w:sz w:val="19"/>
                <w:szCs w:val="19"/>
              </w:rPr>
            </w:pPr>
          </w:p>
        </w:tc>
        <w:tc>
          <w:tcPr>
            <w:tcW w:w="3580" w:type="dxa"/>
            <w:tcBorders>
              <w:top w:val="nil"/>
              <w:left w:val="nil"/>
              <w:bottom w:val="single" w:sz="4" w:space="0" w:color="808080"/>
              <w:right w:val="single" w:sz="4" w:space="0" w:color="808080"/>
            </w:tcBorders>
            <w:shd w:val="clear" w:color="auto" w:fill="auto"/>
            <w:hideMark/>
          </w:tcPr>
          <w:p w:rsidR="002C0CCF" w:rsidRPr="008B43F6" w:rsidRDefault="002C0CCF" w:rsidP="00C92E54">
            <w:pPr>
              <w:rPr>
                <w:rFonts w:eastAsia="Times New Roman" w:cs="Calibri"/>
                <w:color w:val="000000"/>
                <w:sz w:val="19"/>
                <w:szCs w:val="19"/>
              </w:rPr>
            </w:pPr>
            <w:r w:rsidRPr="008B43F6">
              <w:rPr>
                <w:rFonts w:cs="Calibri"/>
                <w:b/>
                <w:bCs/>
                <w:color w:val="000000"/>
                <w:sz w:val="19"/>
                <w:szCs w:val="19"/>
              </w:rPr>
              <w:t>Exposición al medio ambiente</w:t>
            </w:r>
            <w:r w:rsidRPr="008B43F6">
              <w:rPr>
                <w:rFonts w:cs="Calibri"/>
                <w:color w:val="000000"/>
                <w:sz w:val="19"/>
                <w:szCs w:val="19"/>
              </w:rPr>
              <w:br/>
            </w:r>
            <w:r w:rsidRPr="008B43F6">
              <w:rPr>
                <w:rFonts w:eastAsia="Times New Roman" w:cs="Calibri"/>
                <w:color w:val="000000"/>
                <w:sz w:val="19"/>
                <w:szCs w:val="19"/>
              </w:rPr>
              <w:t>Confort térmico</w:t>
            </w:r>
            <w:r w:rsidRPr="008B43F6">
              <w:rPr>
                <w:rFonts w:eastAsia="Times New Roman" w:cs="Calibri"/>
                <w:color w:val="000000"/>
                <w:sz w:val="19"/>
                <w:szCs w:val="19"/>
              </w:rPr>
              <w:br/>
              <w:t>Higiene</w:t>
            </w:r>
          </w:p>
        </w:tc>
        <w:tc>
          <w:tcPr>
            <w:tcW w:w="3740" w:type="dxa"/>
            <w:vMerge w:val="restart"/>
            <w:tcBorders>
              <w:top w:val="nil"/>
              <w:left w:val="single" w:sz="4" w:space="0" w:color="808080"/>
              <w:bottom w:val="single" w:sz="8" w:space="0" w:color="808080"/>
              <w:right w:val="single" w:sz="8" w:space="0" w:color="808080"/>
            </w:tcBorders>
            <w:shd w:val="clear" w:color="auto" w:fill="auto"/>
            <w:hideMark/>
          </w:tcPr>
          <w:p w:rsidR="002C0CCF" w:rsidRPr="008B43F6" w:rsidRDefault="002C0CCF" w:rsidP="00C92E54">
            <w:pPr>
              <w:spacing w:after="0"/>
              <w:rPr>
                <w:rFonts w:eastAsia="Times New Roman" w:cs="Calibri"/>
                <w:color w:val="000000"/>
                <w:sz w:val="19"/>
                <w:szCs w:val="19"/>
                <w:lang w:eastAsia="es-ES"/>
              </w:rPr>
            </w:pPr>
            <w:r w:rsidRPr="008B43F6">
              <w:rPr>
                <w:rFonts w:eastAsia="Times New Roman" w:cs="Calibri"/>
                <w:color w:val="000000"/>
                <w:sz w:val="19"/>
                <w:szCs w:val="19"/>
              </w:rPr>
              <w:t xml:space="preserve">Mediante algunos estudios de campo se ha descubierto que una calefacción eficiente en términos de costo y energía, no siempre reduce el uso neto de energía en una vivienda (y por tanto, los gases de efecto invernadero y los contaminantes del aire) en una cantidad equivalente. </w:t>
            </w:r>
            <w:r w:rsidRPr="008B43F6">
              <w:rPr>
                <w:rFonts w:eastAsia="Times New Roman" w:cs="Calibri"/>
                <w:color w:val="000000"/>
                <w:sz w:val="19"/>
                <w:szCs w:val="19"/>
              </w:rPr>
              <w:br/>
            </w:r>
            <w:r w:rsidRPr="008B43F6">
              <w:rPr>
                <w:rFonts w:eastAsia="Times New Roman" w:cs="Calibri"/>
                <w:color w:val="000000"/>
                <w:sz w:val="19"/>
                <w:szCs w:val="19"/>
              </w:rPr>
              <w:br/>
              <w:t>Lo anterior sucede debido a que es posible que algunos hogares destinen una parte de sus ahorros a cubrir los costos de aumentar su consumo de</w:t>
            </w:r>
            <w:r w:rsidRPr="008B43F6">
              <w:rPr>
                <w:rFonts w:eastAsia="Times New Roman" w:cs="Calibri"/>
                <w:color w:val="000000"/>
                <w:sz w:val="19"/>
                <w:szCs w:val="19"/>
                <w:lang w:eastAsia="es-ES"/>
              </w:rPr>
              <w:t xml:space="preserve"> energía (</w:t>
            </w:r>
            <w:r w:rsidRPr="008B43F6">
              <w:rPr>
                <w:rFonts w:eastAsia="Times New Roman" w:cs="Calibri"/>
                <w:color w:val="000000"/>
                <w:sz w:val="19"/>
                <w:szCs w:val="19"/>
              </w:rPr>
              <w:t>electricidad o calor), un fenómeno conocido como "efecto de aceptación de la devolución"</w:t>
            </w:r>
          </w:p>
          <w:p w:rsidR="002C0CCF" w:rsidRPr="008B43F6" w:rsidRDefault="002C0CCF" w:rsidP="00C92E54">
            <w:pPr>
              <w:spacing w:after="0"/>
              <w:rPr>
                <w:rFonts w:eastAsia="Times New Roman" w:cs="Calibri"/>
                <w:color w:val="000000"/>
                <w:sz w:val="19"/>
                <w:szCs w:val="19"/>
                <w:lang w:eastAsia="es-ES"/>
              </w:rPr>
            </w:pPr>
          </w:p>
          <w:p w:rsidR="002C0CCF" w:rsidRPr="008B43F6" w:rsidRDefault="002C0CCF" w:rsidP="00C92E54">
            <w:pPr>
              <w:spacing w:after="0"/>
              <w:rPr>
                <w:rFonts w:eastAsia="Times New Roman" w:cs="Calibri"/>
                <w:color w:val="000000"/>
                <w:sz w:val="19"/>
                <w:szCs w:val="19"/>
                <w:lang w:eastAsia="es-ES"/>
              </w:rPr>
            </w:pPr>
          </w:p>
          <w:p w:rsidR="002C0CCF" w:rsidRPr="008B43F6" w:rsidRDefault="002C0CCF" w:rsidP="00C92E54">
            <w:pPr>
              <w:spacing w:after="0"/>
              <w:rPr>
                <w:rFonts w:eastAsia="Times New Roman" w:cs="Calibri"/>
                <w:color w:val="000000"/>
                <w:sz w:val="19"/>
                <w:szCs w:val="19"/>
              </w:rPr>
            </w:pPr>
          </w:p>
        </w:tc>
      </w:tr>
      <w:tr w:rsidR="002C0CCF" w:rsidRPr="008B43F6" w:rsidTr="00F14047">
        <w:trPr>
          <w:trHeight w:val="1800"/>
        </w:trPr>
        <w:tc>
          <w:tcPr>
            <w:tcW w:w="1660" w:type="dxa"/>
            <w:vMerge/>
            <w:tcBorders>
              <w:top w:val="nil"/>
              <w:left w:val="single" w:sz="8" w:space="0" w:color="808080"/>
              <w:bottom w:val="single" w:sz="8" w:space="0" w:color="808080"/>
              <w:right w:val="single" w:sz="4" w:space="0" w:color="808080"/>
            </w:tcBorders>
            <w:vAlign w:val="center"/>
            <w:hideMark/>
          </w:tcPr>
          <w:p w:rsidR="002C0CCF" w:rsidRPr="008B43F6" w:rsidRDefault="002C0CCF" w:rsidP="00C92E54">
            <w:pPr>
              <w:spacing w:after="0"/>
              <w:jc w:val="both"/>
              <w:rPr>
                <w:rFonts w:eastAsia="Times New Roman" w:cs="Calibri"/>
                <w:b/>
                <w:bCs/>
                <w:color w:val="000000"/>
                <w:sz w:val="20"/>
                <w:szCs w:val="20"/>
              </w:rPr>
            </w:pPr>
          </w:p>
        </w:tc>
        <w:tc>
          <w:tcPr>
            <w:tcW w:w="3580" w:type="dxa"/>
            <w:tcBorders>
              <w:top w:val="nil"/>
              <w:left w:val="nil"/>
              <w:bottom w:val="single" w:sz="4" w:space="0" w:color="808080"/>
              <w:right w:val="single" w:sz="4" w:space="0" w:color="808080"/>
            </w:tcBorders>
            <w:shd w:val="clear" w:color="auto" w:fill="auto"/>
            <w:hideMark/>
          </w:tcPr>
          <w:p w:rsidR="002C0CCF" w:rsidRPr="008B43F6" w:rsidRDefault="002C0CCF" w:rsidP="00C92E54">
            <w:pPr>
              <w:rPr>
                <w:rFonts w:cs="Calibri"/>
                <w:color w:val="000000"/>
                <w:sz w:val="19"/>
                <w:szCs w:val="19"/>
              </w:rPr>
            </w:pPr>
            <w:r w:rsidRPr="008B43F6">
              <w:rPr>
                <w:rFonts w:cs="Calibri"/>
                <w:b/>
                <w:bCs/>
                <w:color w:val="000000"/>
                <w:sz w:val="19"/>
                <w:szCs w:val="19"/>
              </w:rPr>
              <w:t>Reducción del riesgo de enfermedad</w:t>
            </w:r>
            <w:r w:rsidRPr="008B43F6">
              <w:rPr>
                <w:rFonts w:cs="Calibri"/>
                <w:color w:val="000000"/>
                <w:sz w:val="19"/>
                <w:szCs w:val="19"/>
              </w:rPr>
              <w:br/>
            </w:r>
            <w:r w:rsidRPr="008B43F6">
              <w:rPr>
                <w:rFonts w:eastAsia="Times New Roman" w:cs="Calibri"/>
                <w:color w:val="000000"/>
                <w:sz w:val="19"/>
                <w:szCs w:val="19"/>
              </w:rPr>
              <w:t>Reducción de los síntomas de asma y otros síntomas respiratorios relacionados con la exposición al frío, a la humedad y al moho</w:t>
            </w:r>
            <w:r w:rsidRPr="008B43F6">
              <w:rPr>
                <w:rFonts w:eastAsia="Times New Roman" w:cs="Calibri"/>
                <w:color w:val="000000"/>
                <w:sz w:val="19"/>
                <w:szCs w:val="19"/>
              </w:rPr>
              <w:br/>
              <w:t>Reducción de casos de neumonía y COPD (en los casos de utilización de biomasa reducida). Mejora en la salud mental en función de una mejora en el confort térmico</w:t>
            </w:r>
          </w:p>
          <w:p w:rsidR="002C0CCF" w:rsidRPr="008B43F6" w:rsidRDefault="002C0CCF" w:rsidP="00C92E54">
            <w:pPr>
              <w:spacing w:after="0"/>
              <w:rPr>
                <w:rFonts w:eastAsia="Times New Roman" w:cs="Calibri"/>
                <w:color w:val="000000"/>
                <w:sz w:val="19"/>
                <w:szCs w:val="19"/>
              </w:rPr>
            </w:pPr>
          </w:p>
        </w:tc>
        <w:tc>
          <w:tcPr>
            <w:tcW w:w="3740" w:type="dxa"/>
            <w:vMerge/>
            <w:tcBorders>
              <w:top w:val="nil"/>
              <w:left w:val="single" w:sz="4" w:space="0" w:color="808080"/>
              <w:bottom w:val="single" w:sz="8" w:space="0" w:color="808080"/>
              <w:right w:val="single" w:sz="8" w:space="0" w:color="808080"/>
            </w:tcBorders>
            <w:vAlign w:val="center"/>
            <w:hideMark/>
          </w:tcPr>
          <w:p w:rsidR="002C0CCF" w:rsidRPr="008B43F6" w:rsidRDefault="002C0CCF" w:rsidP="00C92E54">
            <w:pPr>
              <w:spacing w:after="0"/>
              <w:rPr>
                <w:rFonts w:eastAsia="Times New Roman" w:cs="Calibri"/>
                <w:color w:val="000000"/>
                <w:sz w:val="20"/>
                <w:szCs w:val="20"/>
              </w:rPr>
            </w:pPr>
          </w:p>
        </w:tc>
      </w:tr>
      <w:tr w:rsidR="002C0CCF" w:rsidRPr="008B43F6" w:rsidTr="00F14047">
        <w:trPr>
          <w:trHeight w:val="915"/>
        </w:trPr>
        <w:tc>
          <w:tcPr>
            <w:tcW w:w="1660" w:type="dxa"/>
            <w:vMerge/>
            <w:tcBorders>
              <w:top w:val="nil"/>
              <w:left w:val="single" w:sz="8" w:space="0" w:color="808080"/>
              <w:bottom w:val="single" w:sz="8" w:space="0" w:color="808080"/>
              <w:right w:val="single" w:sz="4" w:space="0" w:color="808080"/>
            </w:tcBorders>
            <w:vAlign w:val="center"/>
            <w:hideMark/>
          </w:tcPr>
          <w:p w:rsidR="002C0CCF" w:rsidRPr="008B43F6" w:rsidRDefault="002C0CCF" w:rsidP="00C92E54">
            <w:pPr>
              <w:spacing w:after="0"/>
              <w:jc w:val="both"/>
              <w:rPr>
                <w:rFonts w:eastAsia="Times New Roman" w:cs="Calibri"/>
                <w:b/>
                <w:bCs/>
                <w:color w:val="000000"/>
                <w:sz w:val="20"/>
                <w:szCs w:val="20"/>
              </w:rPr>
            </w:pPr>
          </w:p>
        </w:tc>
        <w:tc>
          <w:tcPr>
            <w:tcW w:w="3580" w:type="dxa"/>
            <w:tcBorders>
              <w:top w:val="nil"/>
              <w:left w:val="nil"/>
              <w:bottom w:val="single" w:sz="8" w:space="0" w:color="808080"/>
              <w:right w:val="single" w:sz="4" w:space="0" w:color="808080"/>
            </w:tcBorders>
            <w:shd w:val="clear" w:color="auto" w:fill="auto"/>
            <w:hideMark/>
          </w:tcPr>
          <w:p w:rsidR="002C0CCF" w:rsidRPr="008B43F6" w:rsidRDefault="002C0CCF" w:rsidP="00C92E54">
            <w:pPr>
              <w:spacing w:after="0"/>
              <w:rPr>
                <w:rFonts w:eastAsia="Times New Roman" w:cs="Calibri"/>
                <w:color w:val="000000"/>
                <w:sz w:val="19"/>
                <w:szCs w:val="19"/>
              </w:rPr>
            </w:pPr>
            <w:r w:rsidRPr="008B43F6">
              <w:rPr>
                <w:rFonts w:cs="Calibri"/>
                <w:b/>
                <w:bCs/>
                <w:color w:val="000000"/>
                <w:sz w:val="19"/>
                <w:szCs w:val="19"/>
              </w:rPr>
              <w:t>Impactos de equidad</w:t>
            </w:r>
            <w:r w:rsidRPr="008B43F6">
              <w:rPr>
                <w:rFonts w:cs="Calibri"/>
                <w:color w:val="000000"/>
                <w:sz w:val="19"/>
                <w:szCs w:val="19"/>
              </w:rPr>
              <w:br/>
            </w:r>
            <w:r w:rsidRPr="008B43F6">
              <w:rPr>
                <w:rFonts w:eastAsia="Times New Roman" w:cs="Calibri"/>
                <w:color w:val="000000"/>
                <w:sz w:val="19"/>
                <w:szCs w:val="19"/>
              </w:rPr>
              <w:t>Dependen del acceso de los pobres a las mejoras</w:t>
            </w:r>
          </w:p>
        </w:tc>
        <w:tc>
          <w:tcPr>
            <w:tcW w:w="3740" w:type="dxa"/>
            <w:vMerge/>
            <w:tcBorders>
              <w:top w:val="nil"/>
              <w:left w:val="single" w:sz="4" w:space="0" w:color="808080"/>
              <w:bottom w:val="single" w:sz="8" w:space="0" w:color="808080"/>
              <w:right w:val="single" w:sz="8" w:space="0" w:color="808080"/>
            </w:tcBorders>
            <w:vAlign w:val="center"/>
            <w:hideMark/>
          </w:tcPr>
          <w:p w:rsidR="002C0CCF" w:rsidRPr="008B43F6" w:rsidRDefault="002C0CCF" w:rsidP="00C92E54">
            <w:pPr>
              <w:spacing w:after="0"/>
              <w:rPr>
                <w:rFonts w:eastAsia="Times New Roman" w:cs="Calibri"/>
                <w:color w:val="000000"/>
                <w:sz w:val="20"/>
                <w:szCs w:val="20"/>
              </w:rPr>
            </w:pPr>
          </w:p>
        </w:tc>
      </w:tr>
    </w:tbl>
    <w:p w:rsidR="002C0CCF" w:rsidRPr="008B43F6" w:rsidRDefault="002C0CCF" w:rsidP="00C92E54">
      <w:pPr>
        <w:jc w:val="both"/>
        <w:rPr>
          <w:rFonts w:cstheme="minorHAnsi"/>
          <w:sz w:val="20"/>
          <w:szCs w:val="20"/>
        </w:rPr>
      </w:pPr>
      <w:r w:rsidRPr="008B43F6">
        <w:rPr>
          <w:rFonts w:cstheme="minorHAnsi"/>
          <w:sz w:val="18"/>
          <w:szCs w:val="18"/>
        </w:rPr>
        <w:t xml:space="preserve">Source: </w:t>
      </w:r>
      <w:r w:rsidRPr="008B43F6">
        <w:rPr>
          <w:rFonts w:cstheme="minorHAnsi"/>
          <w:sz w:val="18"/>
          <w:szCs w:val="18"/>
        </w:rPr>
        <w:fldChar w:fldCharType="begin"/>
      </w:r>
      <w:r w:rsidRPr="008B43F6">
        <w:rPr>
          <w:rFonts w:cstheme="minorHAnsi"/>
          <w:sz w:val="18"/>
          <w:szCs w:val="18"/>
        </w:rPr>
        <w:instrText xml:space="preserve"> ADDIN EN.CITE &lt;EndNote&gt;&lt;Cite&gt;&lt;Author&gt;Röbbel&lt;/Author&gt;&lt;Year&gt;2011&lt;/Year&gt;&lt;RecNum&gt;16&lt;/RecNum&gt;&lt;DisplayText&gt;[1]&lt;/DisplayText&gt;&lt;record&gt;&lt;rec-number&gt;16&lt;/rec-number&gt;&lt;foreign-keys&gt;&lt;key app="EN" db-id="w0w9edzzlxxfdgesvf359ft8wzxverspwaav"&gt;16&lt;/key&gt;&lt;/foreign-keys&gt;&lt;ref-type name="Report"&gt;27&lt;/ref-type&gt;&lt;contributors&gt;&lt;authors&gt;&lt;author&gt;Nathalie Röbbel&lt;/author&gt;&lt;/authors&gt;&lt;/contributors&gt;&lt;titles&gt;&lt;title&gt;Health co-benefits of climate change mitigation – Housing sector&lt;/title&gt;&lt;secondary-title&gt;Health in the green economy&lt;/secondary-title&gt;&lt;/titles&gt;&lt;dates&gt;&lt;year&gt;2011&lt;/year&gt;&lt;/dates&gt;&lt;pub-location&gt;Geneva, Switzerland&lt;/pub-location&gt;&lt;publisher&gt;World Health Organization&lt;/publisher&gt;&lt;urls&gt;&lt;related-urls&gt;&lt;url&gt;http://whqlibdoc.who.int/publications/2011/9789241501712_eng.pdf&lt;/url&gt;&lt;/related-urls&gt;&lt;/urls&gt;&lt;/record&gt;&lt;/Cite&gt;&lt;/EndNote&gt;</w:instrText>
      </w:r>
      <w:r w:rsidRPr="008B43F6">
        <w:rPr>
          <w:rFonts w:cstheme="minorHAnsi"/>
          <w:sz w:val="18"/>
          <w:szCs w:val="18"/>
        </w:rPr>
        <w:fldChar w:fldCharType="separate"/>
      </w:r>
      <w:r w:rsidRPr="008B43F6">
        <w:rPr>
          <w:rFonts w:cstheme="minorHAnsi"/>
          <w:noProof/>
          <w:sz w:val="18"/>
          <w:szCs w:val="18"/>
        </w:rPr>
        <w:t>[</w:t>
      </w:r>
      <w:hyperlink w:anchor="_ENREF_1" w:tooltip="Röbbel, 2011 #16" w:history="1">
        <w:r w:rsidR="00251C87" w:rsidRPr="008B43F6">
          <w:rPr>
            <w:rFonts w:cstheme="minorHAnsi"/>
            <w:noProof/>
            <w:sz w:val="18"/>
            <w:szCs w:val="18"/>
          </w:rPr>
          <w:t>1</w:t>
        </w:r>
      </w:hyperlink>
      <w:r w:rsidRPr="008B43F6">
        <w:rPr>
          <w:rFonts w:cstheme="minorHAnsi"/>
          <w:noProof/>
          <w:sz w:val="18"/>
          <w:szCs w:val="18"/>
        </w:rPr>
        <w:t>]</w:t>
      </w:r>
      <w:r w:rsidRPr="008B43F6">
        <w:rPr>
          <w:rFonts w:cstheme="minorHAnsi"/>
          <w:sz w:val="18"/>
          <w:szCs w:val="18"/>
        </w:rPr>
        <w:fldChar w:fldCharType="end"/>
      </w:r>
      <w:r w:rsidRPr="008B43F6">
        <w:rPr>
          <w:rFonts w:cstheme="minorHAnsi"/>
          <w:sz w:val="20"/>
          <w:szCs w:val="20"/>
        </w:rPr>
        <w:br w:type="page"/>
      </w:r>
    </w:p>
    <w:p w:rsidR="002C0CCF" w:rsidRPr="008B43F6" w:rsidRDefault="002C0CCF" w:rsidP="00C92E54">
      <w:pPr>
        <w:jc w:val="both"/>
        <w:rPr>
          <w:rFonts w:cstheme="minorHAnsi"/>
          <w:sz w:val="18"/>
          <w:szCs w:val="18"/>
        </w:rPr>
      </w:pPr>
      <w:r w:rsidRPr="008B43F6">
        <w:rPr>
          <w:rFonts w:cstheme="minorHAnsi"/>
          <w:b/>
          <w:sz w:val="18"/>
          <w:szCs w:val="18"/>
        </w:rPr>
        <w:lastRenderedPageBreak/>
        <w:t xml:space="preserve">Tabla 1. (cont.) </w:t>
      </w:r>
      <w:r w:rsidRPr="008B43F6">
        <w:rPr>
          <w:rFonts w:cstheme="minorHAnsi"/>
          <w:bCs/>
          <w:sz w:val="18"/>
          <w:szCs w:val="18"/>
        </w:rPr>
        <w:t>Co-beneficios de salud y riesgos derivados de medidas específicas de mitigación definidas por la Organización Mundial de la Salud</w:t>
      </w:r>
    </w:p>
    <w:tbl>
      <w:tblPr>
        <w:tblW w:w="8980" w:type="dxa"/>
        <w:tblInd w:w="93" w:type="dxa"/>
        <w:tblLook w:val="04A0" w:firstRow="1" w:lastRow="0" w:firstColumn="1" w:lastColumn="0" w:noHBand="0" w:noVBand="1"/>
      </w:tblPr>
      <w:tblGrid>
        <w:gridCol w:w="1660"/>
        <w:gridCol w:w="3742"/>
        <w:gridCol w:w="3578"/>
      </w:tblGrid>
      <w:tr w:rsidR="002C0CCF" w:rsidRPr="008B43F6" w:rsidTr="00F14047">
        <w:trPr>
          <w:trHeight w:val="572"/>
        </w:trPr>
        <w:tc>
          <w:tcPr>
            <w:tcW w:w="1660" w:type="dxa"/>
            <w:tcBorders>
              <w:top w:val="nil"/>
              <w:left w:val="nil"/>
              <w:bottom w:val="nil"/>
              <w:right w:val="nil"/>
            </w:tcBorders>
            <w:shd w:val="clear" w:color="000000" w:fill="8DB4E2"/>
            <w:noWrap/>
            <w:hideMark/>
          </w:tcPr>
          <w:p w:rsidR="002C0CCF" w:rsidRPr="008B43F6" w:rsidRDefault="002C0CCF" w:rsidP="00C92E54">
            <w:pPr>
              <w:spacing w:after="0"/>
              <w:jc w:val="center"/>
              <w:rPr>
                <w:rFonts w:eastAsia="Times New Roman" w:cs="Calibri"/>
                <w:b/>
                <w:bCs/>
                <w:color w:val="FFFFFF"/>
                <w:sz w:val="20"/>
                <w:szCs w:val="20"/>
              </w:rPr>
            </w:pPr>
            <w:r w:rsidRPr="008B43F6">
              <w:rPr>
                <w:rFonts w:eastAsia="Times New Roman" w:cs="Calibri"/>
                <w:b/>
                <w:bCs/>
                <w:color w:val="FFFFFF"/>
                <w:sz w:val="20"/>
                <w:szCs w:val="20"/>
              </w:rPr>
              <w:t>Estrategia de mitigación</w:t>
            </w:r>
          </w:p>
        </w:tc>
        <w:tc>
          <w:tcPr>
            <w:tcW w:w="3742" w:type="dxa"/>
            <w:tcBorders>
              <w:top w:val="nil"/>
              <w:left w:val="nil"/>
              <w:bottom w:val="nil"/>
              <w:right w:val="nil"/>
            </w:tcBorders>
            <w:shd w:val="clear" w:color="000000" w:fill="8DB4E2"/>
            <w:noWrap/>
            <w:hideMark/>
          </w:tcPr>
          <w:p w:rsidR="002C0CCF" w:rsidRPr="008B43F6" w:rsidRDefault="002C0CCF" w:rsidP="00C92E54">
            <w:pPr>
              <w:spacing w:after="0"/>
              <w:jc w:val="center"/>
              <w:rPr>
                <w:rFonts w:eastAsia="Times New Roman" w:cs="Calibri"/>
                <w:b/>
                <w:bCs/>
                <w:color w:val="FFFFFF"/>
                <w:sz w:val="20"/>
                <w:szCs w:val="20"/>
              </w:rPr>
            </w:pPr>
            <w:r w:rsidRPr="008B43F6">
              <w:rPr>
                <w:rFonts w:eastAsia="Times New Roman" w:cs="Calibri"/>
                <w:b/>
                <w:bCs/>
                <w:color w:val="FFFFFF"/>
                <w:sz w:val="20"/>
                <w:szCs w:val="20"/>
              </w:rPr>
              <w:t>Co-beneficios probables en materia de salud</w:t>
            </w:r>
          </w:p>
        </w:tc>
        <w:tc>
          <w:tcPr>
            <w:tcW w:w="3578" w:type="dxa"/>
            <w:tcBorders>
              <w:top w:val="nil"/>
              <w:left w:val="nil"/>
              <w:bottom w:val="nil"/>
              <w:right w:val="nil"/>
            </w:tcBorders>
            <w:shd w:val="clear" w:color="000000" w:fill="8DB4E2"/>
            <w:noWrap/>
            <w:hideMark/>
          </w:tcPr>
          <w:p w:rsidR="002C0CCF" w:rsidRPr="008B43F6" w:rsidRDefault="002C0CCF" w:rsidP="00C92E54">
            <w:pPr>
              <w:spacing w:after="0"/>
              <w:jc w:val="center"/>
              <w:rPr>
                <w:rFonts w:eastAsia="Times New Roman" w:cs="Calibri"/>
                <w:b/>
                <w:bCs/>
                <w:color w:val="FFFFFF"/>
                <w:sz w:val="20"/>
                <w:szCs w:val="20"/>
              </w:rPr>
            </w:pPr>
            <w:r w:rsidRPr="008B43F6">
              <w:rPr>
                <w:rFonts w:eastAsia="Times New Roman" w:cs="Calibri"/>
                <w:b/>
                <w:bCs/>
                <w:color w:val="FFFFFF"/>
                <w:sz w:val="20"/>
                <w:szCs w:val="20"/>
              </w:rPr>
              <w:t>Riesgos de salud que deben ser evitados.</w:t>
            </w:r>
          </w:p>
        </w:tc>
      </w:tr>
      <w:tr w:rsidR="002C0CCF" w:rsidRPr="008B43F6" w:rsidTr="00F14047">
        <w:trPr>
          <w:trHeight w:val="600"/>
        </w:trPr>
        <w:tc>
          <w:tcPr>
            <w:tcW w:w="1660" w:type="dxa"/>
            <w:vMerge w:val="restart"/>
            <w:tcBorders>
              <w:top w:val="single" w:sz="8" w:space="0" w:color="808080"/>
              <w:left w:val="single" w:sz="8" w:space="0" w:color="808080"/>
              <w:bottom w:val="single" w:sz="8" w:space="0" w:color="808080"/>
              <w:right w:val="single" w:sz="4" w:space="0" w:color="808080"/>
            </w:tcBorders>
            <w:shd w:val="clear" w:color="auto" w:fill="auto"/>
            <w:hideMark/>
          </w:tcPr>
          <w:p w:rsidR="002C0CCF" w:rsidRPr="008B43F6" w:rsidRDefault="002C0CCF" w:rsidP="00C92E54">
            <w:pPr>
              <w:spacing w:after="0"/>
              <w:rPr>
                <w:rFonts w:eastAsia="Times New Roman" w:cs="Calibri"/>
                <w:b/>
                <w:bCs/>
                <w:color w:val="000000"/>
                <w:sz w:val="19"/>
                <w:szCs w:val="19"/>
              </w:rPr>
            </w:pPr>
            <w:r w:rsidRPr="008B43F6">
              <w:rPr>
                <w:rFonts w:eastAsia="Times New Roman" w:cs="Calibri"/>
                <w:b/>
                <w:bCs/>
                <w:color w:val="000000"/>
                <w:sz w:val="19"/>
                <w:szCs w:val="19"/>
              </w:rPr>
              <w:t>Reducción en las cargas de enfriamiento de los edificios a través de las características del diseño y la ventilación natural</w:t>
            </w:r>
          </w:p>
          <w:p w:rsidR="002C0CCF" w:rsidRPr="008B43F6" w:rsidRDefault="002C0CCF" w:rsidP="00C92E54">
            <w:pPr>
              <w:spacing w:after="0"/>
              <w:rPr>
                <w:rFonts w:eastAsia="Times New Roman" w:cs="Calibri"/>
                <w:b/>
                <w:bCs/>
                <w:color w:val="000000"/>
                <w:sz w:val="19"/>
                <w:szCs w:val="19"/>
                <w:lang w:eastAsia="es-ES"/>
              </w:rPr>
            </w:pPr>
            <w:r w:rsidRPr="008B43F6">
              <w:rPr>
                <w:rFonts w:eastAsia="Times New Roman" w:cs="Calibri"/>
                <w:b/>
                <w:bCs/>
                <w:color w:val="000000"/>
                <w:sz w:val="19"/>
                <w:szCs w:val="19"/>
                <w:lang w:eastAsia="es-ES"/>
              </w:rPr>
              <w:br/>
            </w:r>
            <w:r w:rsidRPr="008B43F6">
              <w:rPr>
                <w:rFonts w:eastAsia="Times New Roman" w:cs="Calibri"/>
                <w:b/>
                <w:bCs/>
                <w:color w:val="000000"/>
                <w:sz w:val="19"/>
                <w:szCs w:val="19"/>
              </w:rPr>
              <w:t>(IPCC 6.4.4)</w:t>
            </w:r>
          </w:p>
          <w:p w:rsidR="002C0CCF" w:rsidRPr="008B43F6" w:rsidRDefault="002C0CCF" w:rsidP="00C92E54">
            <w:pPr>
              <w:spacing w:after="0"/>
              <w:rPr>
                <w:rFonts w:eastAsia="Times New Roman" w:cs="Calibri"/>
                <w:b/>
                <w:bCs/>
                <w:color w:val="000000"/>
                <w:sz w:val="19"/>
                <w:szCs w:val="19"/>
              </w:rPr>
            </w:pPr>
          </w:p>
        </w:tc>
        <w:tc>
          <w:tcPr>
            <w:tcW w:w="3742" w:type="dxa"/>
            <w:tcBorders>
              <w:top w:val="single" w:sz="8" w:space="0" w:color="808080"/>
              <w:left w:val="nil"/>
              <w:bottom w:val="single" w:sz="4" w:space="0" w:color="808080"/>
              <w:right w:val="single" w:sz="4" w:space="0" w:color="808080"/>
            </w:tcBorders>
            <w:shd w:val="clear" w:color="auto" w:fill="auto"/>
            <w:hideMark/>
          </w:tcPr>
          <w:p w:rsidR="002C0CCF" w:rsidRPr="008B43F6" w:rsidRDefault="002C0CCF" w:rsidP="00C92E54">
            <w:pPr>
              <w:spacing w:after="0"/>
              <w:rPr>
                <w:rFonts w:eastAsia="Times New Roman" w:cs="Calibri"/>
                <w:color w:val="000000"/>
                <w:sz w:val="19"/>
                <w:szCs w:val="19"/>
              </w:rPr>
            </w:pPr>
            <w:r w:rsidRPr="008B43F6">
              <w:rPr>
                <w:rFonts w:eastAsia="Times New Roman" w:cs="Calibri"/>
                <w:b/>
                <w:bCs/>
                <w:color w:val="000000"/>
                <w:sz w:val="19"/>
                <w:szCs w:val="19"/>
              </w:rPr>
              <w:t>Exposición al medio ambiente</w:t>
            </w:r>
            <w:r w:rsidRPr="008B43F6">
              <w:rPr>
                <w:rFonts w:eastAsia="Times New Roman" w:cs="Calibri"/>
                <w:color w:val="000000"/>
                <w:sz w:val="19"/>
                <w:szCs w:val="19"/>
              </w:rPr>
              <w:br/>
              <w:t>Confort térmico</w:t>
            </w:r>
          </w:p>
        </w:tc>
        <w:tc>
          <w:tcPr>
            <w:tcW w:w="3578" w:type="dxa"/>
            <w:vMerge w:val="restart"/>
            <w:tcBorders>
              <w:top w:val="single" w:sz="8" w:space="0" w:color="808080"/>
              <w:left w:val="single" w:sz="4" w:space="0" w:color="808080"/>
              <w:bottom w:val="single" w:sz="8" w:space="0" w:color="808080"/>
              <w:right w:val="single" w:sz="8" w:space="0" w:color="808080"/>
            </w:tcBorders>
            <w:shd w:val="clear" w:color="auto" w:fill="auto"/>
            <w:hideMark/>
          </w:tcPr>
          <w:p w:rsidR="002C0CCF" w:rsidRPr="008B43F6" w:rsidRDefault="002C0CCF" w:rsidP="00C92E54">
            <w:pPr>
              <w:spacing w:after="0"/>
              <w:rPr>
                <w:rFonts w:eastAsia="Times New Roman" w:cs="Calibri"/>
                <w:color w:val="000000"/>
                <w:sz w:val="19"/>
                <w:szCs w:val="19"/>
                <w:lang w:eastAsia="es-ES"/>
              </w:rPr>
            </w:pPr>
            <w:r w:rsidRPr="008B43F6">
              <w:rPr>
                <w:rFonts w:eastAsia="Times New Roman" w:cs="Calibri"/>
                <w:color w:val="000000"/>
                <w:sz w:val="19"/>
                <w:szCs w:val="19"/>
                <w:lang w:eastAsia="es-ES"/>
              </w:rPr>
              <w:t>Puede ser que no funcione en los casos en los que se mantiene una temperatura alta durante la noche; es necesario que sea adaptado a la humedad regional</w:t>
            </w:r>
            <w:r w:rsidRPr="008B43F6">
              <w:rPr>
                <w:rFonts w:eastAsia="Times New Roman" w:cs="Calibri"/>
                <w:color w:val="000000"/>
                <w:sz w:val="19"/>
                <w:szCs w:val="19"/>
                <w:lang w:eastAsia="es-ES"/>
              </w:rPr>
              <w:br/>
              <w:t xml:space="preserve"> El diseño debe tomar en cuenta tanto los riesgos de invierno como los de verano</w:t>
            </w:r>
            <w:r w:rsidRPr="008B43F6">
              <w:rPr>
                <w:rFonts w:eastAsia="Times New Roman" w:cs="Calibri"/>
                <w:color w:val="000000"/>
                <w:sz w:val="19"/>
                <w:szCs w:val="19"/>
                <w:lang w:eastAsia="es-ES"/>
              </w:rPr>
              <w:br/>
              <w:t>La ventilación natural sin malla protectora en la vivienda puede aumentar la vulnerabilidad a las enfermedades e infecciones transmitidas por vectores en el aire</w:t>
            </w:r>
            <w:r w:rsidRPr="008B43F6">
              <w:rPr>
                <w:rFonts w:eastAsia="Times New Roman" w:cs="Calibri"/>
                <w:color w:val="000000"/>
                <w:sz w:val="19"/>
                <w:szCs w:val="19"/>
                <w:lang w:eastAsia="es-ES"/>
              </w:rPr>
              <w:br/>
              <w:t xml:space="preserve">Puede aumentar la exposición a altas concentraciones de contaminantes del aire provocando síntomas respiratorios a menos que se utilicen filtros </w:t>
            </w:r>
          </w:p>
          <w:p w:rsidR="002C0CCF" w:rsidRPr="008B43F6" w:rsidRDefault="002C0CCF" w:rsidP="00C92E54">
            <w:pPr>
              <w:spacing w:after="0"/>
              <w:rPr>
                <w:rFonts w:eastAsia="Times New Roman" w:cs="Calibri"/>
                <w:color w:val="000000"/>
                <w:sz w:val="19"/>
                <w:szCs w:val="19"/>
              </w:rPr>
            </w:pPr>
            <w:r w:rsidRPr="008B43F6">
              <w:rPr>
                <w:rFonts w:eastAsia="Times New Roman" w:cs="Calibri"/>
                <w:color w:val="000000"/>
                <w:sz w:val="19"/>
                <w:szCs w:val="19"/>
                <w:lang w:eastAsia="es-ES"/>
              </w:rPr>
              <w:t>Evitar el uso de plomo en la pintura (por ejemplo, pintura blanca para el efecto albedo)</w:t>
            </w:r>
          </w:p>
        </w:tc>
      </w:tr>
      <w:tr w:rsidR="002C0CCF" w:rsidRPr="008B43F6" w:rsidTr="009F794A">
        <w:trPr>
          <w:trHeight w:val="2340"/>
        </w:trPr>
        <w:tc>
          <w:tcPr>
            <w:tcW w:w="1660" w:type="dxa"/>
            <w:vMerge/>
            <w:tcBorders>
              <w:top w:val="single" w:sz="8" w:space="0" w:color="808080"/>
              <w:left w:val="single" w:sz="8" w:space="0" w:color="808080"/>
              <w:bottom w:val="single" w:sz="8" w:space="0" w:color="808080"/>
              <w:right w:val="single" w:sz="4" w:space="0" w:color="808080"/>
            </w:tcBorders>
            <w:vAlign w:val="center"/>
            <w:hideMark/>
          </w:tcPr>
          <w:p w:rsidR="002C0CCF" w:rsidRPr="008B43F6" w:rsidRDefault="002C0CCF" w:rsidP="00C92E54">
            <w:pPr>
              <w:spacing w:after="0"/>
              <w:rPr>
                <w:rFonts w:eastAsia="Times New Roman" w:cs="Calibri"/>
                <w:b/>
                <w:bCs/>
                <w:color w:val="000000"/>
                <w:sz w:val="19"/>
                <w:szCs w:val="19"/>
              </w:rPr>
            </w:pPr>
          </w:p>
        </w:tc>
        <w:tc>
          <w:tcPr>
            <w:tcW w:w="3742" w:type="dxa"/>
            <w:tcBorders>
              <w:top w:val="nil"/>
              <w:left w:val="nil"/>
              <w:bottom w:val="single" w:sz="4" w:space="0" w:color="808080"/>
              <w:right w:val="single" w:sz="4" w:space="0" w:color="808080"/>
            </w:tcBorders>
            <w:shd w:val="clear" w:color="auto" w:fill="auto"/>
            <w:hideMark/>
          </w:tcPr>
          <w:p w:rsidR="002C0CCF" w:rsidRPr="008B43F6" w:rsidRDefault="002C0CCF" w:rsidP="00C92E54">
            <w:pPr>
              <w:rPr>
                <w:rFonts w:eastAsia="Times New Roman" w:cs="Calibri"/>
                <w:color w:val="000000"/>
                <w:sz w:val="19"/>
                <w:szCs w:val="19"/>
              </w:rPr>
            </w:pPr>
            <w:r w:rsidRPr="008B43F6">
              <w:rPr>
                <w:rFonts w:eastAsia="Times New Roman" w:cs="Calibri"/>
                <w:b/>
                <w:bCs/>
                <w:color w:val="000000"/>
                <w:sz w:val="19"/>
                <w:szCs w:val="19"/>
              </w:rPr>
              <w:t>Reducción del riesgo de enfermedad</w:t>
            </w:r>
            <w:r w:rsidRPr="008B43F6">
              <w:rPr>
                <w:rFonts w:cs="Calibri"/>
                <w:color w:val="000000"/>
                <w:sz w:val="19"/>
                <w:szCs w:val="19"/>
              </w:rPr>
              <w:br/>
            </w:r>
            <w:r w:rsidRPr="008B43F6">
              <w:rPr>
                <w:rFonts w:eastAsia="Times New Roman" w:cs="Calibri"/>
                <w:color w:val="000000"/>
                <w:sz w:val="19"/>
                <w:szCs w:val="19"/>
              </w:rPr>
              <w:t>Reducción del asma /enfermedades respiratorias causadas por partículas de sustancias tóxicas, radón, moho, etcétera</w:t>
            </w:r>
            <w:r w:rsidRPr="008B43F6">
              <w:rPr>
                <w:rFonts w:eastAsia="Times New Roman" w:cs="Calibri"/>
                <w:color w:val="000000"/>
                <w:sz w:val="19"/>
                <w:szCs w:val="19"/>
              </w:rPr>
              <w:br/>
              <w:t>Reducción de casos de TB y de otros riesgos de infección transmitidos a través del aire</w:t>
            </w:r>
            <w:r w:rsidRPr="008B43F6">
              <w:rPr>
                <w:rFonts w:eastAsia="Times New Roman" w:cs="Calibri"/>
                <w:color w:val="000000"/>
                <w:sz w:val="19"/>
                <w:szCs w:val="19"/>
              </w:rPr>
              <w:br/>
              <w:t>Menor cantidad de contagios de enfermedades a través de los sistemas de aire acondicionado</w:t>
            </w:r>
          </w:p>
        </w:tc>
        <w:tc>
          <w:tcPr>
            <w:tcW w:w="3578" w:type="dxa"/>
            <w:vMerge/>
            <w:tcBorders>
              <w:top w:val="single" w:sz="8" w:space="0" w:color="808080"/>
              <w:left w:val="single" w:sz="4" w:space="0" w:color="808080"/>
              <w:bottom w:val="single" w:sz="8" w:space="0" w:color="808080"/>
              <w:right w:val="single" w:sz="8" w:space="0" w:color="808080"/>
            </w:tcBorders>
            <w:vAlign w:val="center"/>
            <w:hideMark/>
          </w:tcPr>
          <w:p w:rsidR="002C0CCF" w:rsidRPr="008B43F6" w:rsidRDefault="002C0CCF" w:rsidP="00C92E54">
            <w:pPr>
              <w:spacing w:after="0"/>
              <w:rPr>
                <w:rFonts w:eastAsia="Times New Roman" w:cs="Calibri"/>
                <w:color w:val="000000"/>
                <w:sz w:val="19"/>
                <w:szCs w:val="19"/>
              </w:rPr>
            </w:pPr>
          </w:p>
        </w:tc>
      </w:tr>
      <w:tr w:rsidR="002C0CCF" w:rsidRPr="008B43F6" w:rsidTr="00F14047">
        <w:trPr>
          <w:trHeight w:val="1618"/>
        </w:trPr>
        <w:tc>
          <w:tcPr>
            <w:tcW w:w="1660" w:type="dxa"/>
            <w:vMerge/>
            <w:tcBorders>
              <w:top w:val="single" w:sz="8" w:space="0" w:color="808080"/>
              <w:left w:val="single" w:sz="8" w:space="0" w:color="808080"/>
              <w:bottom w:val="single" w:sz="8" w:space="0" w:color="808080"/>
              <w:right w:val="single" w:sz="4" w:space="0" w:color="808080"/>
            </w:tcBorders>
            <w:vAlign w:val="center"/>
            <w:hideMark/>
          </w:tcPr>
          <w:p w:rsidR="002C0CCF" w:rsidRPr="008B43F6" w:rsidRDefault="002C0CCF" w:rsidP="00C92E54">
            <w:pPr>
              <w:spacing w:after="0"/>
              <w:rPr>
                <w:rFonts w:eastAsia="Times New Roman" w:cs="Calibri"/>
                <w:b/>
                <w:bCs/>
                <w:color w:val="000000"/>
                <w:sz w:val="19"/>
                <w:szCs w:val="19"/>
              </w:rPr>
            </w:pPr>
          </w:p>
        </w:tc>
        <w:tc>
          <w:tcPr>
            <w:tcW w:w="3742" w:type="dxa"/>
            <w:tcBorders>
              <w:top w:val="nil"/>
              <w:left w:val="nil"/>
              <w:bottom w:val="single" w:sz="8" w:space="0" w:color="808080"/>
              <w:right w:val="single" w:sz="4" w:space="0" w:color="808080"/>
            </w:tcBorders>
            <w:shd w:val="clear" w:color="auto" w:fill="auto"/>
            <w:hideMark/>
          </w:tcPr>
          <w:p w:rsidR="002C0CCF" w:rsidRPr="008B43F6" w:rsidRDefault="002C0CCF" w:rsidP="00C92E54">
            <w:pPr>
              <w:rPr>
                <w:rFonts w:eastAsia="Times New Roman" w:cs="Calibri"/>
                <w:color w:val="000000"/>
                <w:sz w:val="19"/>
                <w:szCs w:val="19"/>
              </w:rPr>
            </w:pPr>
            <w:r w:rsidRPr="008B43F6">
              <w:rPr>
                <w:rFonts w:cs="Calibri"/>
                <w:b/>
                <w:bCs/>
                <w:color w:val="000000"/>
                <w:sz w:val="19"/>
                <w:szCs w:val="19"/>
              </w:rPr>
              <w:t>Impactos de equidad</w:t>
            </w:r>
            <w:r w:rsidRPr="008B43F6">
              <w:rPr>
                <w:rFonts w:cs="Calibri"/>
                <w:color w:val="000000"/>
                <w:sz w:val="19"/>
                <w:szCs w:val="19"/>
              </w:rPr>
              <w:br/>
              <w:t xml:space="preserve">Un co-beneficio de alta equidad como resultado de un mayor acceso a un enfriamiento y a una ventilación efectivos, en particular cuando se adoptan medidas de diseño en entornos de bajos recursos </w:t>
            </w:r>
          </w:p>
        </w:tc>
        <w:tc>
          <w:tcPr>
            <w:tcW w:w="3578" w:type="dxa"/>
            <w:vMerge/>
            <w:tcBorders>
              <w:top w:val="single" w:sz="8" w:space="0" w:color="808080"/>
              <w:left w:val="single" w:sz="4" w:space="0" w:color="808080"/>
              <w:bottom w:val="single" w:sz="8" w:space="0" w:color="808080"/>
              <w:right w:val="single" w:sz="8" w:space="0" w:color="808080"/>
            </w:tcBorders>
            <w:vAlign w:val="center"/>
            <w:hideMark/>
          </w:tcPr>
          <w:p w:rsidR="002C0CCF" w:rsidRPr="008B43F6" w:rsidRDefault="002C0CCF" w:rsidP="00C92E54">
            <w:pPr>
              <w:spacing w:after="0"/>
              <w:rPr>
                <w:rFonts w:eastAsia="Times New Roman" w:cs="Calibri"/>
                <w:color w:val="000000"/>
                <w:sz w:val="19"/>
                <w:szCs w:val="19"/>
              </w:rPr>
            </w:pPr>
          </w:p>
        </w:tc>
      </w:tr>
      <w:tr w:rsidR="002C0CCF" w:rsidRPr="008B43F6" w:rsidTr="00F14047">
        <w:trPr>
          <w:trHeight w:val="900"/>
        </w:trPr>
        <w:tc>
          <w:tcPr>
            <w:tcW w:w="1660" w:type="dxa"/>
            <w:vMerge w:val="restart"/>
            <w:tcBorders>
              <w:top w:val="nil"/>
              <w:left w:val="single" w:sz="8" w:space="0" w:color="808080"/>
              <w:bottom w:val="single" w:sz="8" w:space="0" w:color="808080"/>
              <w:right w:val="single" w:sz="4" w:space="0" w:color="808080"/>
            </w:tcBorders>
            <w:shd w:val="clear" w:color="auto" w:fill="auto"/>
            <w:hideMark/>
          </w:tcPr>
          <w:p w:rsidR="002C0CCF" w:rsidRPr="008B43F6" w:rsidRDefault="002C0CCF" w:rsidP="00C92E54">
            <w:pPr>
              <w:spacing w:after="0"/>
              <w:rPr>
                <w:rFonts w:eastAsia="Times New Roman" w:cs="Calibri"/>
                <w:b/>
                <w:bCs/>
                <w:color w:val="000000"/>
                <w:sz w:val="19"/>
                <w:szCs w:val="19"/>
              </w:rPr>
            </w:pPr>
            <w:r w:rsidRPr="008B43F6">
              <w:rPr>
                <w:rFonts w:eastAsia="Times New Roman" w:cs="Calibri"/>
                <w:b/>
                <w:bCs/>
                <w:color w:val="000000"/>
                <w:sz w:val="19"/>
                <w:szCs w:val="19"/>
              </w:rPr>
              <w:t>(IPCC 6.4.4–5)</w:t>
            </w:r>
          </w:p>
          <w:p w:rsidR="002C0CCF" w:rsidRPr="008B43F6" w:rsidRDefault="002C0CCF" w:rsidP="00C92E54">
            <w:pPr>
              <w:spacing w:after="0"/>
              <w:rPr>
                <w:rFonts w:eastAsia="Times New Roman" w:cs="Calibri"/>
                <w:b/>
                <w:bCs/>
                <w:color w:val="000000"/>
                <w:sz w:val="19"/>
                <w:szCs w:val="19"/>
              </w:rPr>
            </w:pPr>
            <w:r w:rsidRPr="008B43F6">
              <w:rPr>
                <w:rFonts w:eastAsia="Times New Roman" w:cs="Calibri"/>
                <w:b/>
                <w:bCs/>
                <w:color w:val="000000"/>
                <w:sz w:val="19"/>
                <w:szCs w:val="19"/>
                <w:lang w:eastAsia="es-ES"/>
              </w:rPr>
              <w:t xml:space="preserve">Sistemas de calefacción, ventilación y aire acondicionado (HVAC) más eficientes en términos energéticos y con un mejor mantenimiento </w:t>
            </w:r>
            <w:r w:rsidRPr="008B43F6">
              <w:rPr>
                <w:rFonts w:eastAsia="Times New Roman" w:cs="Calibri"/>
                <w:b/>
                <w:bCs/>
                <w:color w:val="000000"/>
                <w:sz w:val="19"/>
                <w:szCs w:val="19"/>
                <w:lang w:eastAsia="es-ES"/>
              </w:rPr>
              <w:br/>
            </w:r>
            <w:r w:rsidRPr="008B43F6">
              <w:rPr>
                <w:rFonts w:eastAsia="Times New Roman" w:cs="Calibri"/>
                <w:b/>
                <w:bCs/>
                <w:color w:val="000000"/>
                <w:sz w:val="19"/>
                <w:szCs w:val="19"/>
                <w:lang w:eastAsia="es-ES"/>
              </w:rPr>
              <w:br/>
              <w:t xml:space="preserve">Mayor dependencia en el diseño de la construcción y en la ventilación natural </w:t>
            </w:r>
            <w:r w:rsidRPr="008B43F6">
              <w:rPr>
                <w:rFonts w:eastAsia="Times New Roman" w:cs="Calibri"/>
                <w:b/>
                <w:bCs/>
                <w:color w:val="000000"/>
                <w:sz w:val="19"/>
                <w:szCs w:val="19"/>
                <w:lang w:eastAsia="es-ES"/>
              </w:rPr>
              <w:br/>
              <w:t>(IPCC 6.4.4–5)</w:t>
            </w:r>
          </w:p>
        </w:tc>
        <w:tc>
          <w:tcPr>
            <w:tcW w:w="3742" w:type="dxa"/>
            <w:tcBorders>
              <w:top w:val="nil"/>
              <w:left w:val="nil"/>
              <w:bottom w:val="single" w:sz="4" w:space="0" w:color="808080"/>
              <w:right w:val="single" w:sz="4" w:space="0" w:color="808080"/>
            </w:tcBorders>
            <w:shd w:val="clear" w:color="auto" w:fill="auto"/>
            <w:hideMark/>
          </w:tcPr>
          <w:p w:rsidR="002C0CCF" w:rsidRPr="008B43F6" w:rsidRDefault="002C0CCF" w:rsidP="00C92E54">
            <w:pPr>
              <w:spacing w:after="0"/>
              <w:rPr>
                <w:rFonts w:eastAsia="Times New Roman" w:cs="Calibri"/>
                <w:color w:val="000000"/>
                <w:sz w:val="19"/>
                <w:szCs w:val="19"/>
              </w:rPr>
            </w:pPr>
            <w:r w:rsidRPr="008B43F6">
              <w:rPr>
                <w:rFonts w:eastAsia="Times New Roman" w:cs="Calibri"/>
                <w:b/>
                <w:bCs/>
                <w:color w:val="000000"/>
                <w:sz w:val="19"/>
                <w:szCs w:val="19"/>
              </w:rPr>
              <w:t>Exposición al medio ambiente</w:t>
            </w:r>
            <w:r w:rsidRPr="008B43F6">
              <w:rPr>
                <w:rFonts w:eastAsia="Times New Roman" w:cs="Calibri"/>
                <w:b/>
                <w:bCs/>
                <w:color w:val="000000"/>
                <w:sz w:val="19"/>
                <w:szCs w:val="19"/>
              </w:rPr>
              <w:br/>
            </w:r>
            <w:r w:rsidRPr="008B43F6">
              <w:rPr>
                <w:rFonts w:eastAsia="Times New Roman" w:cs="Calibri"/>
                <w:bCs/>
                <w:color w:val="000000"/>
                <w:sz w:val="19"/>
                <w:szCs w:val="19"/>
              </w:rPr>
              <w:t>Confort térmico</w:t>
            </w:r>
            <w:r w:rsidRPr="008B43F6">
              <w:rPr>
                <w:rFonts w:eastAsia="Times New Roman" w:cs="Calibri"/>
                <w:bCs/>
                <w:color w:val="000000"/>
                <w:sz w:val="19"/>
                <w:szCs w:val="19"/>
              </w:rPr>
              <w:br/>
              <w:t>Menor exposición al ruido</w:t>
            </w:r>
          </w:p>
        </w:tc>
        <w:tc>
          <w:tcPr>
            <w:tcW w:w="3578" w:type="dxa"/>
            <w:vMerge w:val="restart"/>
            <w:tcBorders>
              <w:top w:val="nil"/>
              <w:left w:val="single" w:sz="4" w:space="0" w:color="808080"/>
              <w:bottom w:val="single" w:sz="8" w:space="0" w:color="808080"/>
              <w:right w:val="single" w:sz="8" w:space="0" w:color="808080"/>
            </w:tcBorders>
            <w:shd w:val="clear" w:color="auto" w:fill="auto"/>
            <w:hideMark/>
          </w:tcPr>
          <w:p w:rsidR="002C0CCF" w:rsidRPr="008B43F6" w:rsidRDefault="002C0CCF" w:rsidP="00C92E54">
            <w:pPr>
              <w:spacing w:after="0"/>
              <w:rPr>
                <w:rFonts w:eastAsia="Times New Roman" w:cs="Calibri"/>
                <w:color w:val="000000"/>
                <w:sz w:val="19"/>
                <w:szCs w:val="19"/>
              </w:rPr>
            </w:pPr>
            <w:r w:rsidRPr="008B43F6">
              <w:rPr>
                <w:rFonts w:eastAsia="Times New Roman" w:cs="Calibri"/>
                <w:color w:val="000000"/>
                <w:sz w:val="19"/>
                <w:szCs w:val="19"/>
              </w:rPr>
              <w:t>Aumento en el riesgo de contraer enfermedades infecciosas transmitidas a través del aire (por ejemplo, la tuberculosis) y presentar síntomas de las vías respiratorias altas y bajas en habitaciones con aire acondicionado y en espacios que carezcan de una circulación suficiente de aire fresco</w:t>
            </w:r>
            <w:r w:rsidRPr="008B43F6">
              <w:rPr>
                <w:rFonts w:eastAsia="Times New Roman" w:cs="Calibri"/>
                <w:color w:val="000000"/>
                <w:sz w:val="19"/>
                <w:szCs w:val="19"/>
              </w:rPr>
              <w:br/>
              <w:t>El aumento en la dependencia del aire acondicionado en las áreas urbanas estimula el círculo vicioso del efecto exacerbado de una isla de calor urbano.</w:t>
            </w:r>
            <w:r w:rsidRPr="008B43F6">
              <w:rPr>
                <w:rFonts w:eastAsia="Times New Roman" w:cs="Calibri"/>
                <w:color w:val="000000"/>
                <w:sz w:val="19"/>
                <w:szCs w:val="19"/>
              </w:rPr>
              <w:br/>
              <w:t>Un aumento en la exposición al ruido y a los contaminantes por no usar aire acondicionado</w:t>
            </w:r>
            <w:r w:rsidRPr="008B43F6">
              <w:rPr>
                <w:rFonts w:eastAsia="Times New Roman" w:cs="Calibri"/>
                <w:color w:val="000000"/>
                <w:sz w:val="19"/>
                <w:szCs w:val="19"/>
              </w:rPr>
              <w:br/>
              <w:t>Proliferación de bacterias /legionelosis en tanques muy grandes de calefacción, ventilación y aire acondicionado (HVAC) y torres de enfriamiento</w:t>
            </w:r>
            <w:r w:rsidRPr="008B43F6">
              <w:rPr>
                <w:rFonts w:eastAsia="Times New Roman" w:cs="Calibri"/>
                <w:color w:val="000000"/>
                <w:sz w:val="19"/>
                <w:szCs w:val="19"/>
              </w:rPr>
              <w:br/>
              <w:t>Impactos de salud retrasados con relación a las condiciones climáticas provocadas por las emisiones de los gases de efecto invernadero de los aparatos de aire acondicionado</w:t>
            </w:r>
          </w:p>
        </w:tc>
      </w:tr>
      <w:tr w:rsidR="002C0CCF" w:rsidRPr="008B43F6" w:rsidTr="00F14047">
        <w:trPr>
          <w:trHeight w:val="3600"/>
        </w:trPr>
        <w:tc>
          <w:tcPr>
            <w:tcW w:w="1660" w:type="dxa"/>
            <w:vMerge/>
            <w:tcBorders>
              <w:top w:val="nil"/>
              <w:left w:val="single" w:sz="8" w:space="0" w:color="808080"/>
              <w:bottom w:val="single" w:sz="8" w:space="0" w:color="808080"/>
              <w:right w:val="single" w:sz="4" w:space="0" w:color="808080"/>
            </w:tcBorders>
            <w:vAlign w:val="center"/>
            <w:hideMark/>
          </w:tcPr>
          <w:p w:rsidR="002C0CCF" w:rsidRPr="008B43F6" w:rsidRDefault="002C0CCF" w:rsidP="00C92E54">
            <w:pPr>
              <w:spacing w:after="0"/>
              <w:rPr>
                <w:rFonts w:eastAsia="Times New Roman" w:cs="Calibri"/>
                <w:b/>
                <w:bCs/>
                <w:color w:val="000000"/>
                <w:sz w:val="19"/>
                <w:szCs w:val="19"/>
              </w:rPr>
            </w:pPr>
          </w:p>
        </w:tc>
        <w:tc>
          <w:tcPr>
            <w:tcW w:w="3742" w:type="dxa"/>
            <w:tcBorders>
              <w:top w:val="nil"/>
              <w:left w:val="nil"/>
              <w:bottom w:val="single" w:sz="4" w:space="0" w:color="808080"/>
              <w:right w:val="single" w:sz="4" w:space="0" w:color="808080"/>
            </w:tcBorders>
            <w:shd w:val="clear" w:color="auto" w:fill="auto"/>
            <w:hideMark/>
          </w:tcPr>
          <w:p w:rsidR="002C0CCF" w:rsidRPr="008B43F6" w:rsidRDefault="002C0CCF" w:rsidP="00C92E54">
            <w:pPr>
              <w:spacing w:after="0"/>
              <w:rPr>
                <w:rFonts w:eastAsia="Times New Roman" w:cs="Calibri"/>
                <w:color w:val="000000"/>
                <w:sz w:val="19"/>
                <w:szCs w:val="19"/>
              </w:rPr>
            </w:pPr>
            <w:r w:rsidRPr="008B43F6">
              <w:rPr>
                <w:rFonts w:eastAsia="Times New Roman" w:cs="Calibri"/>
                <w:b/>
                <w:bCs/>
                <w:color w:val="000000"/>
                <w:sz w:val="19"/>
                <w:szCs w:val="19"/>
              </w:rPr>
              <w:t>Reducción del riesgo de enfermedad</w:t>
            </w:r>
            <w:r w:rsidRPr="008B43F6">
              <w:rPr>
                <w:rFonts w:eastAsia="Times New Roman" w:cs="Calibri"/>
                <w:b/>
                <w:bCs/>
                <w:color w:val="000000"/>
                <w:sz w:val="19"/>
                <w:szCs w:val="19"/>
              </w:rPr>
              <w:br/>
            </w:r>
            <w:r w:rsidRPr="008B43F6">
              <w:rPr>
                <w:rFonts w:eastAsia="Times New Roman" w:cs="Calibri"/>
                <w:bCs/>
                <w:color w:val="000000"/>
                <w:sz w:val="19"/>
                <w:szCs w:val="19"/>
              </w:rPr>
              <w:t>Reducción de síntomas respiratorios y síntomas de asma en entornos que tienen una contaminación del aire exterior significativa</w:t>
            </w:r>
            <w:r w:rsidRPr="008B43F6">
              <w:rPr>
                <w:rFonts w:eastAsia="Times New Roman" w:cs="Calibri"/>
                <w:bCs/>
                <w:color w:val="000000"/>
                <w:sz w:val="19"/>
                <w:szCs w:val="19"/>
              </w:rPr>
              <w:br/>
              <w:t>Reducción del riesgo de enfermedades cardiovasculares ocasionadas por la exposición al calor</w:t>
            </w:r>
            <w:r w:rsidRPr="008B43F6">
              <w:rPr>
                <w:rFonts w:eastAsia="Times New Roman" w:cs="Calibri"/>
                <w:bCs/>
                <w:color w:val="000000"/>
                <w:sz w:val="19"/>
                <w:szCs w:val="19"/>
              </w:rPr>
              <w:br/>
              <w:t>Reducción del riesgo de contraer enfermedades transmitidas por vectores del aire debido al cierre de ventanas</w:t>
            </w:r>
          </w:p>
        </w:tc>
        <w:tc>
          <w:tcPr>
            <w:tcW w:w="3578" w:type="dxa"/>
            <w:vMerge/>
            <w:tcBorders>
              <w:top w:val="nil"/>
              <w:left w:val="single" w:sz="4" w:space="0" w:color="808080"/>
              <w:bottom w:val="single" w:sz="8" w:space="0" w:color="808080"/>
              <w:right w:val="single" w:sz="8" w:space="0" w:color="808080"/>
            </w:tcBorders>
            <w:vAlign w:val="center"/>
            <w:hideMark/>
          </w:tcPr>
          <w:p w:rsidR="002C0CCF" w:rsidRPr="008B43F6" w:rsidRDefault="002C0CCF" w:rsidP="00C92E54">
            <w:pPr>
              <w:spacing w:after="0"/>
              <w:rPr>
                <w:rFonts w:eastAsia="Times New Roman" w:cs="Calibri"/>
                <w:color w:val="000000"/>
                <w:sz w:val="19"/>
                <w:szCs w:val="19"/>
              </w:rPr>
            </w:pPr>
          </w:p>
        </w:tc>
      </w:tr>
      <w:tr w:rsidR="002C0CCF" w:rsidRPr="008B43F6" w:rsidTr="00F14047">
        <w:trPr>
          <w:trHeight w:val="1143"/>
        </w:trPr>
        <w:tc>
          <w:tcPr>
            <w:tcW w:w="1660" w:type="dxa"/>
            <w:vMerge/>
            <w:tcBorders>
              <w:top w:val="nil"/>
              <w:left w:val="single" w:sz="8" w:space="0" w:color="808080"/>
              <w:bottom w:val="single" w:sz="8" w:space="0" w:color="808080"/>
              <w:right w:val="single" w:sz="4" w:space="0" w:color="808080"/>
            </w:tcBorders>
            <w:vAlign w:val="center"/>
            <w:hideMark/>
          </w:tcPr>
          <w:p w:rsidR="002C0CCF" w:rsidRPr="008B43F6" w:rsidRDefault="002C0CCF" w:rsidP="00C92E54">
            <w:pPr>
              <w:spacing w:after="0"/>
              <w:rPr>
                <w:rFonts w:eastAsia="Times New Roman" w:cs="Calibri"/>
                <w:b/>
                <w:bCs/>
                <w:color w:val="000000"/>
                <w:sz w:val="19"/>
                <w:szCs w:val="19"/>
              </w:rPr>
            </w:pPr>
          </w:p>
        </w:tc>
        <w:tc>
          <w:tcPr>
            <w:tcW w:w="3742" w:type="dxa"/>
            <w:tcBorders>
              <w:top w:val="nil"/>
              <w:left w:val="nil"/>
              <w:bottom w:val="single" w:sz="8" w:space="0" w:color="808080"/>
              <w:right w:val="single" w:sz="4" w:space="0" w:color="808080"/>
            </w:tcBorders>
            <w:shd w:val="clear" w:color="auto" w:fill="auto"/>
            <w:hideMark/>
          </w:tcPr>
          <w:p w:rsidR="002C0CCF" w:rsidRPr="008B43F6" w:rsidRDefault="002C0CCF" w:rsidP="00C92E54">
            <w:pPr>
              <w:spacing w:after="0"/>
              <w:rPr>
                <w:rFonts w:eastAsia="Times New Roman" w:cs="Calibri"/>
                <w:color w:val="000000"/>
                <w:sz w:val="19"/>
                <w:szCs w:val="19"/>
              </w:rPr>
            </w:pPr>
            <w:r w:rsidRPr="008B43F6">
              <w:rPr>
                <w:rFonts w:eastAsia="Times New Roman" w:cs="Calibri"/>
                <w:b/>
                <w:bCs/>
                <w:color w:val="000000"/>
                <w:sz w:val="19"/>
                <w:szCs w:val="19"/>
              </w:rPr>
              <w:t>Impactos de equidad</w:t>
            </w:r>
            <w:r w:rsidRPr="008B43F6">
              <w:rPr>
                <w:rFonts w:eastAsia="Times New Roman" w:cs="Calibri"/>
                <w:bCs/>
                <w:color w:val="000000"/>
                <w:sz w:val="19"/>
                <w:szCs w:val="19"/>
              </w:rPr>
              <w:br/>
              <w:t>Los que menos posibilidades tienen de adquirir aparatos de aire acondicionado son los que más sufren por el ruido que emiten y por los impactos de sus islas de calor.</w:t>
            </w:r>
          </w:p>
        </w:tc>
        <w:tc>
          <w:tcPr>
            <w:tcW w:w="3578" w:type="dxa"/>
            <w:vMerge/>
            <w:tcBorders>
              <w:top w:val="nil"/>
              <w:left w:val="single" w:sz="4" w:space="0" w:color="808080"/>
              <w:bottom w:val="single" w:sz="8" w:space="0" w:color="808080"/>
              <w:right w:val="single" w:sz="8" w:space="0" w:color="808080"/>
            </w:tcBorders>
            <w:vAlign w:val="center"/>
            <w:hideMark/>
          </w:tcPr>
          <w:p w:rsidR="002C0CCF" w:rsidRPr="008B43F6" w:rsidRDefault="002C0CCF" w:rsidP="00C92E54">
            <w:pPr>
              <w:spacing w:after="0"/>
              <w:rPr>
                <w:rFonts w:eastAsia="Times New Roman" w:cs="Calibri"/>
                <w:color w:val="000000"/>
                <w:sz w:val="19"/>
                <w:szCs w:val="19"/>
              </w:rPr>
            </w:pPr>
          </w:p>
        </w:tc>
      </w:tr>
    </w:tbl>
    <w:p w:rsidR="002C0CCF" w:rsidRPr="008B43F6" w:rsidRDefault="002C0CCF" w:rsidP="00C92E54">
      <w:pPr>
        <w:rPr>
          <w:rFonts w:cstheme="minorHAnsi"/>
          <w:sz w:val="18"/>
          <w:szCs w:val="18"/>
        </w:rPr>
      </w:pPr>
      <w:r w:rsidRPr="008B43F6">
        <w:rPr>
          <w:rFonts w:cstheme="minorHAnsi"/>
          <w:sz w:val="18"/>
          <w:szCs w:val="18"/>
        </w:rPr>
        <w:t xml:space="preserve">Fuente: </w:t>
      </w:r>
      <w:r w:rsidRPr="008B43F6">
        <w:rPr>
          <w:rFonts w:cstheme="minorHAnsi"/>
          <w:sz w:val="18"/>
          <w:szCs w:val="18"/>
        </w:rPr>
        <w:fldChar w:fldCharType="begin"/>
      </w:r>
      <w:r w:rsidRPr="008B43F6">
        <w:rPr>
          <w:rFonts w:cstheme="minorHAnsi"/>
          <w:sz w:val="18"/>
          <w:szCs w:val="18"/>
        </w:rPr>
        <w:instrText xml:space="preserve"> ADDIN EN.CITE &lt;EndNote&gt;&lt;Cite&gt;&lt;Author&gt;Röbbel&lt;/Author&gt;&lt;Year&gt;2011&lt;/Year&gt;&lt;RecNum&gt;16&lt;/RecNum&gt;&lt;DisplayText&gt;[1]&lt;/DisplayText&gt;&lt;record&gt;&lt;rec-number&gt;16&lt;/rec-number&gt;&lt;foreign-keys&gt;&lt;key app="EN" db-id="w0w9edzzlxxfdgesvf359ft8wzxverspwaav"&gt;16&lt;/key&gt;&lt;/foreign-keys&gt;&lt;ref-type name="Report"&gt;27&lt;/ref-type&gt;&lt;contributors&gt;&lt;authors&gt;&lt;author&gt;Nathalie Röbbel&lt;/author&gt;&lt;/authors&gt;&lt;/contributors&gt;&lt;titles&gt;&lt;title&gt;Health co-benefits of climate change mitigation – Housing sector&lt;/title&gt;&lt;secondary-title&gt;Health in the green economy&lt;/secondary-title&gt;&lt;/titles&gt;&lt;dates&gt;&lt;year&gt;2011&lt;/year&gt;&lt;/dates&gt;&lt;pub-location&gt;Geneva, Switzerland&lt;/pub-location&gt;&lt;publisher&gt;World Health Organization&lt;/publisher&gt;&lt;urls&gt;&lt;related-urls&gt;&lt;url&gt;http://whqlibdoc.who.int/publications/2011/9789241501712_eng.pdf&lt;/url&gt;&lt;/related-urls&gt;&lt;/urls&gt;&lt;/record&gt;&lt;/Cite&gt;&lt;/EndNote&gt;</w:instrText>
      </w:r>
      <w:r w:rsidRPr="008B43F6">
        <w:rPr>
          <w:rFonts w:cstheme="minorHAnsi"/>
          <w:sz w:val="18"/>
          <w:szCs w:val="18"/>
        </w:rPr>
        <w:fldChar w:fldCharType="separate"/>
      </w:r>
      <w:r w:rsidRPr="008B43F6">
        <w:rPr>
          <w:rFonts w:cstheme="minorHAnsi"/>
          <w:noProof/>
          <w:sz w:val="18"/>
          <w:szCs w:val="18"/>
        </w:rPr>
        <w:t>[</w:t>
      </w:r>
      <w:hyperlink w:anchor="_ENREF_1" w:tooltip="Röbbel, 2011 #16" w:history="1">
        <w:r w:rsidR="00251C87" w:rsidRPr="008B43F6">
          <w:rPr>
            <w:rFonts w:cstheme="minorHAnsi"/>
            <w:noProof/>
            <w:sz w:val="18"/>
            <w:szCs w:val="18"/>
          </w:rPr>
          <w:t>1</w:t>
        </w:r>
      </w:hyperlink>
      <w:r w:rsidRPr="008B43F6">
        <w:rPr>
          <w:rFonts w:cstheme="minorHAnsi"/>
          <w:noProof/>
          <w:sz w:val="18"/>
          <w:szCs w:val="18"/>
        </w:rPr>
        <w:t>]</w:t>
      </w:r>
      <w:r w:rsidRPr="008B43F6">
        <w:rPr>
          <w:rFonts w:cstheme="minorHAnsi"/>
          <w:sz w:val="18"/>
          <w:szCs w:val="18"/>
        </w:rPr>
        <w:fldChar w:fldCharType="end"/>
      </w:r>
    </w:p>
    <w:p w:rsidR="002C0CCF" w:rsidRPr="008B43F6" w:rsidRDefault="002C0CCF" w:rsidP="00AD6847">
      <w:pPr>
        <w:spacing w:after="40"/>
        <w:jc w:val="both"/>
        <w:rPr>
          <w:rFonts w:cstheme="minorHAnsi"/>
          <w:sz w:val="18"/>
          <w:szCs w:val="18"/>
        </w:rPr>
      </w:pPr>
      <w:r w:rsidRPr="008B43F6">
        <w:rPr>
          <w:rFonts w:cstheme="minorHAnsi"/>
          <w:b/>
          <w:sz w:val="18"/>
          <w:szCs w:val="18"/>
        </w:rPr>
        <w:lastRenderedPageBreak/>
        <w:t xml:space="preserve">Tabla 1. (cont.) </w:t>
      </w:r>
      <w:r w:rsidRPr="008B43F6">
        <w:rPr>
          <w:rFonts w:cstheme="minorHAnsi"/>
          <w:bCs/>
          <w:sz w:val="18"/>
          <w:szCs w:val="18"/>
        </w:rPr>
        <w:t>Co-beneficios de salud y riesgos derivados de medidas específicas de mitigación definidas por la Organización Mundial de la Salud</w:t>
      </w:r>
    </w:p>
    <w:tbl>
      <w:tblPr>
        <w:tblW w:w="9782" w:type="dxa"/>
        <w:tblInd w:w="-318" w:type="dxa"/>
        <w:tblLook w:val="04A0" w:firstRow="1" w:lastRow="0" w:firstColumn="1" w:lastColumn="0" w:noHBand="0" w:noVBand="1"/>
      </w:tblPr>
      <w:tblGrid>
        <w:gridCol w:w="2411"/>
        <w:gridCol w:w="4536"/>
        <w:gridCol w:w="2835"/>
      </w:tblGrid>
      <w:tr w:rsidR="002C0CCF" w:rsidRPr="008B43F6" w:rsidTr="00AD6847">
        <w:trPr>
          <w:trHeight w:val="315"/>
        </w:trPr>
        <w:tc>
          <w:tcPr>
            <w:tcW w:w="2411" w:type="dxa"/>
            <w:tcBorders>
              <w:top w:val="nil"/>
              <w:left w:val="nil"/>
              <w:bottom w:val="nil"/>
              <w:right w:val="nil"/>
            </w:tcBorders>
            <w:shd w:val="clear" w:color="000000" w:fill="8DB4E2"/>
            <w:noWrap/>
            <w:hideMark/>
          </w:tcPr>
          <w:p w:rsidR="002C0CCF" w:rsidRPr="008B43F6" w:rsidRDefault="002C0CCF" w:rsidP="00C92E54">
            <w:pPr>
              <w:spacing w:after="0"/>
              <w:jc w:val="center"/>
              <w:rPr>
                <w:rFonts w:eastAsia="Times New Roman" w:cs="Calibri"/>
                <w:b/>
                <w:bCs/>
                <w:color w:val="FFFFFF"/>
                <w:sz w:val="20"/>
                <w:szCs w:val="20"/>
              </w:rPr>
            </w:pPr>
            <w:r w:rsidRPr="008B43F6">
              <w:rPr>
                <w:rFonts w:eastAsia="Times New Roman" w:cs="Calibri"/>
                <w:b/>
                <w:bCs/>
                <w:color w:val="FFFFFF"/>
                <w:sz w:val="20"/>
                <w:szCs w:val="20"/>
              </w:rPr>
              <w:t>Estrategia de mitigación</w:t>
            </w:r>
          </w:p>
        </w:tc>
        <w:tc>
          <w:tcPr>
            <w:tcW w:w="4536" w:type="dxa"/>
            <w:tcBorders>
              <w:top w:val="nil"/>
              <w:left w:val="nil"/>
              <w:bottom w:val="nil"/>
              <w:right w:val="nil"/>
            </w:tcBorders>
            <w:shd w:val="clear" w:color="000000" w:fill="8DB4E2"/>
            <w:noWrap/>
            <w:hideMark/>
          </w:tcPr>
          <w:p w:rsidR="002C0CCF" w:rsidRPr="008B43F6" w:rsidRDefault="002C0CCF" w:rsidP="00C92E54">
            <w:pPr>
              <w:spacing w:after="0"/>
              <w:jc w:val="center"/>
              <w:rPr>
                <w:rFonts w:eastAsia="Times New Roman" w:cs="Calibri"/>
                <w:b/>
                <w:bCs/>
                <w:color w:val="FFFFFF"/>
                <w:sz w:val="20"/>
                <w:szCs w:val="20"/>
              </w:rPr>
            </w:pPr>
            <w:r w:rsidRPr="008B43F6">
              <w:rPr>
                <w:rFonts w:eastAsia="Times New Roman" w:cs="Calibri"/>
                <w:b/>
                <w:bCs/>
                <w:color w:val="FFFFFF"/>
                <w:sz w:val="20"/>
                <w:szCs w:val="20"/>
              </w:rPr>
              <w:t>Co-beneficios probables en materia de salud</w:t>
            </w:r>
          </w:p>
        </w:tc>
        <w:tc>
          <w:tcPr>
            <w:tcW w:w="2835" w:type="dxa"/>
            <w:tcBorders>
              <w:top w:val="nil"/>
              <w:left w:val="nil"/>
              <w:bottom w:val="nil"/>
              <w:right w:val="nil"/>
            </w:tcBorders>
            <w:shd w:val="clear" w:color="000000" w:fill="8DB4E2"/>
            <w:noWrap/>
            <w:hideMark/>
          </w:tcPr>
          <w:p w:rsidR="002C0CCF" w:rsidRPr="008B43F6" w:rsidRDefault="002C0CCF" w:rsidP="00C92E54">
            <w:pPr>
              <w:spacing w:after="0"/>
              <w:jc w:val="center"/>
              <w:rPr>
                <w:rFonts w:eastAsia="Times New Roman" w:cs="Calibri"/>
                <w:b/>
                <w:bCs/>
                <w:color w:val="FFFFFF"/>
                <w:sz w:val="20"/>
                <w:szCs w:val="20"/>
              </w:rPr>
            </w:pPr>
            <w:r w:rsidRPr="008B43F6">
              <w:rPr>
                <w:rFonts w:eastAsia="Times New Roman" w:cs="Calibri"/>
                <w:b/>
                <w:bCs/>
                <w:color w:val="FFFFFF"/>
                <w:sz w:val="20"/>
                <w:szCs w:val="20"/>
              </w:rPr>
              <w:t>Riesgos de salud que deben ser evitados.</w:t>
            </w:r>
          </w:p>
        </w:tc>
      </w:tr>
      <w:tr w:rsidR="002C0CCF" w:rsidRPr="008B43F6" w:rsidTr="00AD6847">
        <w:trPr>
          <w:trHeight w:val="546"/>
        </w:trPr>
        <w:tc>
          <w:tcPr>
            <w:tcW w:w="2411" w:type="dxa"/>
            <w:vMerge w:val="restart"/>
            <w:tcBorders>
              <w:top w:val="single" w:sz="8" w:space="0" w:color="808080"/>
              <w:left w:val="single" w:sz="8" w:space="0" w:color="808080"/>
              <w:bottom w:val="single" w:sz="8" w:space="0" w:color="808080"/>
              <w:right w:val="single" w:sz="4" w:space="0" w:color="808080"/>
            </w:tcBorders>
            <w:shd w:val="clear" w:color="auto" w:fill="auto"/>
            <w:hideMark/>
          </w:tcPr>
          <w:p w:rsidR="002C0CCF" w:rsidRPr="008B43F6" w:rsidRDefault="002C0CCF" w:rsidP="00C92E54">
            <w:pPr>
              <w:spacing w:after="0"/>
              <w:rPr>
                <w:rFonts w:eastAsia="Times New Roman" w:cs="Calibri"/>
                <w:b/>
                <w:bCs/>
                <w:color w:val="000000"/>
                <w:sz w:val="19"/>
                <w:szCs w:val="19"/>
              </w:rPr>
            </w:pPr>
            <w:r w:rsidRPr="008B43F6">
              <w:rPr>
                <w:rFonts w:eastAsia="Times New Roman" w:cs="Calibri"/>
                <w:b/>
                <w:bCs/>
                <w:color w:val="000000"/>
                <w:sz w:val="19"/>
                <w:szCs w:val="19"/>
              </w:rPr>
              <w:t>(IPCC 6.4.7–8)Agua caliente solar pasiva y electricidad solar fotovoltaica</w:t>
            </w:r>
            <w:r w:rsidRPr="008B43F6">
              <w:rPr>
                <w:rFonts w:eastAsia="Times New Roman" w:cs="Calibri"/>
                <w:b/>
                <w:bCs/>
                <w:color w:val="000000"/>
                <w:sz w:val="19"/>
                <w:szCs w:val="19"/>
              </w:rPr>
              <w:br/>
              <w:t>(IPCC 6.4.7–8)</w:t>
            </w:r>
          </w:p>
          <w:p w:rsidR="002C0CCF" w:rsidRPr="008B43F6" w:rsidRDefault="002C0CCF" w:rsidP="00C92E54">
            <w:pPr>
              <w:spacing w:after="0"/>
              <w:rPr>
                <w:rFonts w:eastAsia="Times New Roman" w:cs="Calibri"/>
                <w:b/>
                <w:bCs/>
                <w:color w:val="000000"/>
                <w:sz w:val="19"/>
                <w:szCs w:val="19"/>
              </w:rPr>
            </w:pPr>
          </w:p>
          <w:p w:rsidR="002C0CCF" w:rsidRPr="008B43F6" w:rsidRDefault="002C0CCF" w:rsidP="00C92E54">
            <w:pPr>
              <w:spacing w:after="0"/>
              <w:rPr>
                <w:rFonts w:eastAsia="Times New Roman" w:cs="Calibri"/>
                <w:b/>
                <w:bCs/>
                <w:color w:val="000000"/>
                <w:sz w:val="19"/>
                <w:szCs w:val="19"/>
              </w:rPr>
            </w:pPr>
          </w:p>
        </w:tc>
        <w:tc>
          <w:tcPr>
            <w:tcW w:w="4536" w:type="dxa"/>
            <w:tcBorders>
              <w:top w:val="single" w:sz="8" w:space="0" w:color="808080"/>
              <w:left w:val="nil"/>
              <w:bottom w:val="single" w:sz="4" w:space="0" w:color="808080"/>
              <w:right w:val="single" w:sz="4" w:space="0" w:color="808080"/>
            </w:tcBorders>
            <w:shd w:val="clear" w:color="auto" w:fill="auto"/>
            <w:hideMark/>
          </w:tcPr>
          <w:p w:rsidR="002C0CCF" w:rsidRPr="008B43F6" w:rsidRDefault="002C0CCF" w:rsidP="00604F72">
            <w:pPr>
              <w:rPr>
                <w:rFonts w:eastAsia="Times New Roman" w:cs="Calibri"/>
                <w:color w:val="000000"/>
                <w:sz w:val="19"/>
                <w:szCs w:val="19"/>
              </w:rPr>
            </w:pPr>
            <w:r w:rsidRPr="008B43F6">
              <w:rPr>
                <w:rFonts w:cs="Calibri"/>
                <w:b/>
                <w:bCs/>
                <w:color w:val="000000"/>
                <w:sz w:val="19"/>
                <w:szCs w:val="19"/>
              </w:rPr>
              <w:t>Exposición al medio ambiente</w:t>
            </w:r>
            <w:r w:rsidRPr="008B43F6">
              <w:rPr>
                <w:rFonts w:cs="Calibri"/>
                <w:color w:val="000000"/>
                <w:sz w:val="19"/>
                <w:szCs w:val="19"/>
              </w:rPr>
              <w:br/>
              <w:t xml:space="preserve">Condiciones de higiene y salubridad </w:t>
            </w:r>
          </w:p>
        </w:tc>
        <w:tc>
          <w:tcPr>
            <w:tcW w:w="2835" w:type="dxa"/>
            <w:vMerge w:val="restart"/>
            <w:tcBorders>
              <w:top w:val="single" w:sz="8" w:space="0" w:color="808080"/>
              <w:left w:val="single" w:sz="4" w:space="0" w:color="808080"/>
              <w:bottom w:val="single" w:sz="8" w:space="0" w:color="808080"/>
              <w:right w:val="single" w:sz="8" w:space="0" w:color="808080"/>
            </w:tcBorders>
            <w:shd w:val="clear" w:color="auto" w:fill="auto"/>
            <w:hideMark/>
          </w:tcPr>
          <w:p w:rsidR="002C0CCF" w:rsidRPr="008B43F6" w:rsidRDefault="002C0CCF" w:rsidP="00C92E54">
            <w:pPr>
              <w:spacing w:after="0"/>
              <w:rPr>
                <w:rFonts w:eastAsia="Times New Roman" w:cs="Calibri"/>
                <w:color w:val="000000"/>
                <w:sz w:val="19"/>
                <w:szCs w:val="19"/>
                <w:lang w:eastAsia="es-ES"/>
              </w:rPr>
            </w:pPr>
            <w:r w:rsidRPr="008B43F6">
              <w:rPr>
                <w:rFonts w:eastAsia="Times New Roman" w:cs="Calibri"/>
                <w:color w:val="000000"/>
                <w:sz w:val="19"/>
                <w:szCs w:val="19"/>
                <w:lang w:eastAsia="es-ES"/>
              </w:rPr>
              <w:t>Es necesario una mayor evaluación de los riesgos de las nuevas tecnologías, incluyendo los riesgos ocupacionales y ambientales relacionados con la producción y la exposición a subproductos de desecho, tales como las irritaciones de las vías respiratorias y los efectos derivados de la exposición a metales pesados o a otras sustancias tóxicas</w:t>
            </w:r>
          </w:p>
          <w:p w:rsidR="002C0CCF" w:rsidRPr="008B43F6" w:rsidRDefault="002C0CCF" w:rsidP="00C92E54">
            <w:pPr>
              <w:spacing w:after="0"/>
              <w:jc w:val="both"/>
              <w:rPr>
                <w:rFonts w:eastAsia="Times New Roman" w:cs="Calibri"/>
                <w:color w:val="000000"/>
                <w:sz w:val="19"/>
                <w:szCs w:val="19"/>
                <w:lang w:eastAsia="es-ES"/>
              </w:rPr>
            </w:pPr>
          </w:p>
          <w:p w:rsidR="002C0CCF" w:rsidRPr="008B43F6" w:rsidRDefault="002C0CCF" w:rsidP="00C92E54">
            <w:pPr>
              <w:spacing w:after="0"/>
              <w:jc w:val="both"/>
              <w:rPr>
                <w:rFonts w:eastAsia="Times New Roman" w:cs="Calibri"/>
                <w:color w:val="000000"/>
                <w:sz w:val="19"/>
                <w:szCs w:val="19"/>
              </w:rPr>
            </w:pPr>
          </w:p>
        </w:tc>
      </w:tr>
      <w:tr w:rsidR="002C0CCF" w:rsidRPr="008B43F6" w:rsidTr="00AD6847">
        <w:trPr>
          <w:trHeight w:val="1932"/>
        </w:trPr>
        <w:tc>
          <w:tcPr>
            <w:tcW w:w="2411" w:type="dxa"/>
            <w:vMerge/>
            <w:tcBorders>
              <w:top w:val="single" w:sz="8" w:space="0" w:color="808080"/>
              <w:left w:val="single" w:sz="8" w:space="0" w:color="808080"/>
              <w:bottom w:val="single" w:sz="8" w:space="0" w:color="808080"/>
              <w:right w:val="single" w:sz="4" w:space="0" w:color="808080"/>
            </w:tcBorders>
            <w:vAlign w:val="center"/>
            <w:hideMark/>
          </w:tcPr>
          <w:p w:rsidR="002C0CCF" w:rsidRPr="008B43F6" w:rsidRDefault="002C0CCF" w:rsidP="00C92E54">
            <w:pPr>
              <w:spacing w:after="0"/>
              <w:rPr>
                <w:rFonts w:eastAsia="Times New Roman" w:cs="Calibri"/>
                <w:b/>
                <w:bCs/>
                <w:color w:val="000000"/>
                <w:sz w:val="20"/>
                <w:szCs w:val="20"/>
              </w:rPr>
            </w:pPr>
          </w:p>
        </w:tc>
        <w:tc>
          <w:tcPr>
            <w:tcW w:w="4536" w:type="dxa"/>
            <w:tcBorders>
              <w:top w:val="nil"/>
              <w:left w:val="nil"/>
              <w:bottom w:val="single" w:sz="4" w:space="0" w:color="808080"/>
              <w:right w:val="single" w:sz="4" w:space="0" w:color="808080"/>
            </w:tcBorders>
            <w:shd w:val="clear" w:color="auto" w:fill="auto"/>
            <w:hideMark/>
          </w:tcPr>
          <w:p w:rsidR="002C0CCF" w:rsidRPr="008B43F6" w:rsidRDefault="002C0CCF" w:rsidP="00604F72">
            <w:pPr>
              <w:rPr>
                <w:rFonts w:eastAsia="Times New Roman" w:cs="Calibri"/>
                <w:color w:val="000000"/>
                <w:sz w:val="19"/>
                <w:szCs w:val="19"/>
              </w:rPr>
            </w:pPr>
            <w:r w:rsidRPr="008B43F6">
              <w:rPr>
                <w:rFonts w:cs="Calibri"/>
                <w:b/>
                <w:bCs/>
                <w:color w:val="000000"/>
                <w:sz w:val="19"/>
                <w:szCs w:val="19"/>
              </w:rPr>
              <w:t>Reducción del riesgo de enfermedad</w:t>
            </w:r>
            <w:r w:rsidRPr="008B43F6">
              <w:rPr>
                <w:rFonts w:cs="Calibri"/>
                <w:color w:val="000000"/>
                <w:sz w:val="19"/>
                <w:szCs w:val="19"/>
              </w:rPr>
              <w:br/>
              <w:t>Disminución del asma y de las enfermedades respiratorias causadas por una disminución en el uso de alumbrado por keroseno en los países en desarrollo</w:t>
            </w:r>
            <w:r w:rsidRPr="008B43F6">
              <w:rPr>
                <w:rFonts w:cs="Calibri"/>
                <w:color w:val="000000"/>
                <w:sz w:val="19"/>
                <w:szCs w:val="19"/>
              </w:rPr>
              <w:br/>
              <w:t>Disminución de quemaduras por el uso de aparatos a que funcionan a base de keroseno</w:t>
            </w:r>
          </w:p>
        </w:tc>
        <w:tc>
          <w:tcPr>
            <w:tcW w:w="2835" w:type="dxa"/>
            <w:vMerge/>
            <w:tcBorders>
              <w:top w:val="single" w:sz="8" w:space="0" w:color="808080"/>
              <w:left w:val="single" w:sz="4" w:space="0" w:color="808080"/>
              <w:bottom w:val="single" w:sz="8" w:space="0" w:color="808080"/>
              <w:right w:val="single" w:sz="8" w:space="0" w:color="808080"/>
            </w:tcBorders>
            <w:vAlign w:val="center"/>
            <w:hideMark/>
          </w:tcPr>
          <w:p w:rsidR="002C0CCF" w:rsidRPr="008B43F6" w:rsidRDefault="002C0CCF" w:rsidP="00C92E54">
            <w:pPr>
              <w:spacing w:after="0"/>
              <w:jc w:val="both"/>
              <w:rPr>
                <w:rFonts w:eastAsia="Times New Roman" w:cs="Calibri"/>
                <w:color w:val="000000"/>
                <w:sz w:val="20"/>
                <w:szCs w:val="20"/>
              </w:rPr>
            </w:pPr>
          </w:p>
        </w:tc>
      </w:tr>
      <w:tr w:rsidR="002C0CCF" w:rsidRPr="00C12621" w:rsidTr="00AD6847">
        <w:trPr>
          <w:trHeight w:val="1288"/>
        </w:trPr>
        <w:tc>
          <w:tcPr>
            <w:tcW w:w="2411" w:type="dxa"/>
            <w:vMerge/>
            <w:tcBorders>
              <w:top w:val="single" w:sz="8" w:space="0" w:color="808080"/>
              <w:left w:val="single" w:sz="8" w:space="0" w:color="808080"/>
              <w:bottom w:val="single" w:sz="8" w:space="0" w:color="808080"/>
              <w:right w:val="single" w:sz="4" w:space="0" w:color="808080"/>
            </w:tcBorders>
            <w:vAlign w:val="center"/>
            <w:hideMark/>
          </w:tcPr>
          <w:p w:rsidR="002C0CCF" w:rsidRPr="008B43F6" w:rsidRDefault="002C0CCF" w:rsidP="00C92E54">
            <w:pPr>
              <w:spacing w:after="0"/>
              <w:rPr>
                <w:rFonts w:eastAsia="Times New Roman" w:cs="Calibri"/>
                <w:b/>
                <w:bCs/>
                <w:color w:val="000000"/>
                <w:sz w:val="20"/>
                <w:szCs w:val="20"/>
              </w:rPr>
            </w:pPr>
          </w:p>
        </w:tc>
        <w:tc>
          <w:tcPr>
            <w:tcW w:w="4536" w:type="dxa"/>
            <w:tcBorders>
              <w:top w:val="nil"/>
              <w:left w:val="nil"/>
              <w:bottom w:val="single" w:sz="8" w:space="0" w:color="808080"/>
              <w:right w:val="single" w:sz="4" w:space="0" w:color="808080"/>
            </w:tcBorders>
            <w:shd w:val="clear" w:color="auto" w:fill="auto"/>
            <w:hideMark/>
          </w:tcPr>
          <w:p w:rsidR="002C0CCF" w:rsidRPr="008B43F6" w:rsidRDefault="002C0CCF" w:rsidP="00604F72">
            <w:pPr>
              <w:spacing w:after="0"/>
              <w:rPr>
                <w:rFonts w:eastAsia="Times New Roman" w:cs="Calibri"/>
                <w:color w:val="000000"/>
                <w:sz w:val="19"/>
                <w:szCs w:val="19"/>
                <w:lang w:val="en-US"/>
              </w:rPr>
            </w:pPr>
            <w:r w:rsidRPr="008B43F6">
              <w:rPr>
                <w:rFonts w:eastAsia="Times New Roman" w:cs="Calibri"/>
                <w:b/>
                <w:bCs/>
                <w:color w:val="000000"/>
                <w:sz w:val="19"/>
                <w:szCs w:val="19"/>
                <w:lang w:val="en-US"/>
              </w:rPr>
              <w:t>Equity impacts</w:t>
            </w:r>
            <w:r w:rsidRPr="008B43F6">
              <w:rPr>
                <w:rFonts w:eastAsia="Times New Roman" w:cs="Calibri"/>
                <w:color w:val="000000"/>
                <w:sz w:val="19"/>
                <w:szCs w:val="19"/>
                <w:lang w:val="en-US"/>
              </w:rPr>
              <w:br/>
              <w:t>More access to electricity among poor</w:t>
            </w:r>
            <w:r w:rsidR="00604F72">
              <w:rPr>
                <w:rFonts w:eastAsia="Times New Roman" w:cs="Calibri"/>
                <w:color w:val="000000"/>
                <w:sz w:val="19"/>
                <w:szCs w:val="19"/>
                <w:lang w:val="en-US"/>
              </w:rPr>
              <w:t xml:space="preserve"> </w:t>
            </w:r>
            <w:r w:rsidRPr="008B43F6">
              <w:rPr>
                <w:rFonts w:eastAsia="Times New Roman" w:cs="Calibri"/>
                <w:color w:val="000000"/>
                <w:sz w:val="19"/>
                <w:szCs w:val="19"/>
                <w:lang w:val="en-US"/>
              </w:rPr>
              <w:t>and rural populations</w:t>
            </w:r>
            <w:r w:rsidRPr="008B43F6">
              <w:rPr>
                <w:rFonts w:eastAsia="Times New Roman" w:cs="Calibri"/>
                <w:color w:val="000000"/>
                <w:sz w:val="19"/>
                <w:szCs w:val="19"/>
                <w:lang w:val="en-US"/>
              </w:rPr>
              <w:br/>
              <w:t>Lower long-term electricity cost once</w:t>
            </w:r>
            <w:r w:rsidR="00604F72">
              <w:rPr>
                <w:rFonts w:eastAsia="Times New Roman" w:cs="Calibri"/>
                <w:color w:val="000000"/>
                <w:sz w:val="19"/>
                <w:szCs w:val="19"/>
                <w:lang w:val="en-US"/>
              </w:rPr>
              <w:t xml:space="preserve"> </w:t>
            </w:r>
            <w:r w:rsidRPr="008B43F6">
              <w:rPr>
                <w:rFonts w:eastAsia="Times New Roman" w:cs="Calibri"/>
                <w:color w:val="000000"/>
                <w:sz w:val="19"/>
                <w:szCs w:val="19"/>
                <w:lang w:val="en-US"/>
              </w:rPr>
              <w:t>initial investment is made</w:t>
            </w:r>
          </w:p>
        </w:tc>
        <w:tc>
          <w:tcPr>
            <w:tcW w:w="2835" w:type="dxa"/>
            <w:vMerge/>
            <w:tcBorders>
              <w:top w:val="single" w:sz="8" w:space="0" w:color="808080"/>
              <w:left w:val="single" w:sz="4" w:space="0" w:color="808080"/>
              <w:bottom w:val="single" w:sz="8" w:space="0" w:color="808080"/>
              <w:right w:val="single" w:sz="8" w:space="0" w:color="808080"/>
            </w:tcBorders>
            <w:vAlign w:val="center"/>
            <w:hideMark/>
          </w:tcPr>
          <w:p w:rsidR="002C0CCF" w:rsidRPr="008B43F6" w:rsidRDefault="002C0CCF" w:rsidP="00C92E54">
            <w:pPr>
              <w:spacing w:after="0"/>
              <w:jc w:val="both"/>
              <w:rPr>
                <w:rFonts w:eastAsia="Times New Roman" w:cs="Calibri"/>
                <w:color w:val="000000"/>
                <w:sz w:val="20"/>
                <w:szCs w:val="20"/>
                <w:lang w:val="en-US"/>
              </w:rPr>
            </w:pPr>
          </w:p>
        </w:tc>
      </w:tr>
      <w:tr w:rsidR="002C0CCF" w:rsidRPr="008B43F6" w:rsidTr="00AD6847">
        <w:trPr>
          <w:trHeight w:val="489"/>
        </w:trPr>
        <w:tc>
          <w:tcPr>
            <w:tcW w:w="2411" w:type="dxa"/>
            <w:vMerge w:val="restart"/>
            <w:tcBorders>
              <w:top w:val="single" w:sz="8" w:space="0" w:color="808080"/>
              <w:left w:val="single" w:sz="8" w:space="0" w:color="808080"/>
              <w:bottom w:val="single" w:sz="8" w:space="0" w:color="808080"/>
              <w:right w:val="single" w:sz="4" w:space="0" w:color="808080"/>
            </w:tcBorders>
            <w:shd w:val="clear" w:color="auto" w:fill="auto"/>
            <w:hideMark/>
          </w:tcPr>
          <w:p w:rsidR="002C0CCF" w:rsidRPr="008B43F6" w:rsidRDefault="002C0CCF" w:rsidP="00604F72">
            <w:pPr>
              <w:spacing w:after="0"/>
              <w:rPr>
                <w:rFonts w:eastAsia="Times New Roman" w:cs="Calibri"/>
                <w:b/>
                <w:bCs/>
                <w:color w:val="000000"/>
                <w:sz w:val="19"/>
                <w:szCs w:val="19"/>
              </w:rPr>
            </w:pPr>
            <w:r w:rsidRPr="008B43F6">
              <w:rPr>
                <w:rFonts w:eastAsia="Times New Roman" w:cs="Calibri"/>
                <w:b/>
                <w:bCs/>
                <w:color w:val="000000"/>
                <w:sz w:val="19"/>
                <w:szCs w:val="19"/>
                <w:lang w:eastAsia="es-ES"/>
              </w:rPr>
              <w:t>Alumbrado e iluminación diurna: posicionamiento de las ventanas para reducir los impactos de frío/calor; iluminación de interiores altamente eficiente en energía</w:t>
            </w:r>
            <w:r w:rsidRPr="008B43F6">
              <w:rPr>
                <w:rFonts w:eastAsia="Times New Roman" w:cs="Calibri"/>
                <w:b/>
                <w:bCs/>
                <w:color w:val="000000"/>
                <w:sz w:val="19"/>
                <w:szCs w:val="19"/>
                <w:lang w:eastAsia="es-ES"/>
              </w:rPr>
              <w:br/>
              <w:t>(IPCC 6.4.9–10)</w:t>
            </w:r>
          </w:p>
        </w:tc>
        <w:tc>
          <w:tcPr>
            <w:tcW w:w="4536" w:type="dxa"/>
            <w:tcBorders>
              <w:top w:val="single" w:sz="8" w:space="0" w:color="808080"/>
              <w:left w:val="nil"/>
              <w:bottom w:val="single" w:sz="4" w:space="0" w:color="808080"/>
              <w:right w:val="single" w:sz="4" w:space="0" w:color="808080"/>
            </w:tcBorders>
            <w:shd w:val="clear" w:color="auto" w:fill="auto"/>
            <w:hideMark/>
          </w:tcPr>
          <w:p w:rsidR="002C0CCF" w:rsidRPr="008B43F6" w:rsidRDefault="002C0CCF" w:rsidP="00C92E54">
            <w:pPr>
              <w:rPr>
                <w:rFonts w:eastAsia="Times New Roman" w:cs="Calibri"/>
                <w:color w:val="000000"/>
                <w:sz w:val="19"/>
                <w:szCs w:val="19"/>
              </w:rPr>
            </w:pPr>
            <w:r w:rsidRPr="008B43F6">
              <w:rPr>
                <w:rFonts w:cs="Calibri"/>
                <w:b/>
                <w:bCs/>
                <w:color w:val="000000"/>
                <w:sz w:val="19"/>
                <w:szCs w:val="19"/>
              </w:rPr>
              <w:t>Exposición al medio ambiente</w:t>
            </w:r>
            <w:r w:rsidRPr="008B43F6">
              <w:rPr>
                <w:rFonts w:cs="Calibri"/>
                <w:color w:val="000000"/>
                <w:sz w:val="19"/>
                <w:szCs w:val="19"/>
              </w:rPr>
              <w:br/>
              <w:t>Confort térmico</w:t>
            </w:r>
          </w:p>
        </w:tc>
        <w:tc>
          <w:tcPr>
            <w:tcW w:w="2835" w:type="dxa"/>
            <w:vMerge w:val="restart"/>
            <w:tcBorders>
              <w:top w:val="single" w:sz="8" w:space="0" w:color="808080"/>
              <w:left w:val="single" w:sz="4" w:space="0" w:color="808080"/>
              <w:bottom w:val="single" w:sz="8" w:space="0" w:color="808080"/>
              <w:right w:val="single" w:sz="8" w:space="0" w:color="808080"/>
            </w:tcBorders>
            <w:shd w:val="clear" w:color="auto" w:fill="auto"/>
            <w:hideMark/>
          </w:tcPr>
          <w:p w:rsidR="002C0CCF" w:rsidRPr="008B43F6" w:rsidRDefault="002C0CCF" w:rsidP="00C92E54">
            <w:pPr>
              <w:spacing w:after="0"/>
              <w:rPr>
                <w:rFonts w:eastAsia="Times New Roman" w:cs="Calibri"/>
                <w:color w:val="000000"/>
                <w:sz w:val="19"/>
                <w:szCs w:val="19"/>
              </w:rPr>
            </w:pPr>
            <w:r w:rsidRPr="008B43F6">
              <w:rPr>
                <w:rFonts w:eastAsia="Times New Roman" w:cs="Calibri"/>
                <w:color w:val="000000"/>
                <w:sz w:val="19"/>
                <w:szCs w:val="19"/>
                <w:lang w:eastAsia="es-ES"/>
              </w:rPr>
              <w:t>Los accidentes domésticos son causados por una iluminación inadecuada tanto interna como de proximidad</w:t>
            </w:r>
          </w:p>
          <w:p w:rsidR="002C0CCF" w:rsidRPr="008B43F6" w:rsidRDefault="002C0CCF" w:rsidP="00C92E54">
            <w:pPr>
              <w:spacing w:after="0"/>
              <w:rPr>
                <w:rFonts w:eastAsia="Times New Roman" w:cs="Calibri"/>
                <w:color w:val="000000"/>
                <w:sz w:val="20"/>
                <w:szCs w:val="20"/>
              </w:rPr>
            </w:pPr>
          </w:p>
          <w:p w:rsidR="002C0CCF" w:rsidRPr="008B43F6" w:rsidRDefault="002C0CCF" w:rsidP="00C92E54">
            <w:pPr>
              <w:spacing w:after="0"/>
              <w:rPr>
                <w:rFonts w:eastAsia="Times New Roman" w:cs="Calibri"/>
                <w:color w:val="000000"/>
                <w:sz w:val="20"/>
                <w:szCs w:val="20"/>
              </w:rPr>
            </w:pPr>
          </w:p>
        </w:tc>
      </w:tr>
      <w:tr w:rsidR="002C0CCF" w:rsidRPr="008B43F6" w:rsidTr="00AD6847">
        <w:trPr>
          <w:trHeight w:val="1862"/>
        </w:trPr>
        <w:tc>
          <w:tcPr>
            <w:tcW w:w="2411" w:type="dxa"/>
            <w:vMerge/>
            <w:tcBorders>
              <w:top w:val="single" w:sz="8" w:space="0" w:color="808080"/>
              <w:left w:val="single" w:sz="8" w:space="0" w:color="808080"/>
              <w:bottom w:val="single" w:sz="8" w:space="0" w:color="808080"/>
              <w:right w:val="single" w:sz="4" w:space="0" w:color="808080"/>
            </w:tcBorders>
            <w:vAlign w:val="center"/>
            <w:hideMark/>
          </w:tcPr>
          <w:p w:rsidR="002C0CCF" w:rsidRPr="008B43F6" w:rsidRDefault="002C0CCF" w:rsidP="00C92E54">
            <w:pPr>
              <w:spacing w:after="0"/>
              <w:rPr>
                <w:rFonts w:eastAsia="Times New Roman" w:cs="Calibri"/>
                <w:b/>
                <w:bCs/>
                <w:color w:val="000000"/>
                <w:sz w:val="20"/>
                <w:szCs w:val="20"/>
              </w:rPr>
            </w:pPr>
          </w:p>
        </w:tc>
        <w:tc>
          <w:tcPr>
            <w:tcW w:w="4536" w:type="dxa"/>
            <w:tcBorders>
              <w:top w:val="nil"/>
              <w:left w:val="nil"/>
              <w:bottom w:val="single" w:sz="8" w:space="0" w:color="808080"/>
              <w:right w:val="single" w:sz="4" w:space="0" w:color="808080"/>
            </w:tcBorders>
            <w:shd w:val="clear" w:color="auto" w:fill="auto"/>
            <w:hideMark/>
          </w:tcPr>
          <w:p w:rsidR="002C0CCF" w:rsidRPr="008B43F6" w:rsidRDefault="002C0CCF" w:rsidP="00604F72">
            <w:pPr>
              <w:rPr>
                <w:rFonts w:eastAsia="Times New Roman" w:cs="Calibri"/>
                <w:color w:val="000000"/>
                <w:sz w:val="19"/>
                <w:szCs w:val="19"/>
              </w:rPr>
            </w:pPr>
            <w:r w:rsidRPr="008B43F6">
              <w:rPr>
                <w:rFonts w:cs="Calibri"/>
                <w:b/>
                <w:bCs/>
                <w:color w:val="000000"/>
                <w:sz w:val="19"/>
                <w:szCs w:val="19"/>
              </w:rPr>
              <w:t>Reducción del riesgo de enfermedad</w:t>
            </w:r>
            <w:r w:rsidRPr="008B43F6">
              <w:rPr>
                <w:rFonts w:cs="Calibri"/>
                <w:color w:val="000000"/>
                <w:sz w:val="19"/>
                <w:szCs w:val="19"/>
              </w:rPr>
              <w:br/>
              <w:t xml:space="preserve">Disminución del asma y de las enfermedades respiratorias como consecuencia de una ventilación natural a través de ventanas </w:t>
            </w:r>
            <w:r w:rsidRPr="008B43F6">
              <w:rPr>
                <w:rFonts w:cs="Calibri"/>
                <w:color w:val="000000"/>
                <w:sz w:val="19"/>
                <w:szCs w:val="19"/>
              </w:rPr>
              <w:br/>
              <w:t>Menos accidentes caseros (caídas)</w:t>
            </w:r>
            <w:r w:rsidRPr="008B43F6">
              <w:rPr>
                <w:rFonts w:cs="Calibri"/>
                <w:color w:val="000000"/>
                <w:sz w:val="19"/>
                <w:szCs w:val="19"/>
              </w:rPr>
              <w:br/>
              <w:t>Un efecto positivo de la luz en el funcionamiento metabólico y en la salud mental</w:t>
            </w:r>
          </w:p>
        </w:tc>
        <w:tc>
          <w:tcPr>
            <w:tcW w:w="2835" w:type="dxa"/>
            <w:vMerge/>
            <w:tcBorders>
              <w:top w:val="single" w:sz="8" w:space="0" w:color="808080"/>
              <w:left w:val="single" w:sz="4" w:space="0" w:color="808080"/>
              <w:bottom w:val="single" w:sz="8" w:space="0" w:color="808080"/>
              <w:right w:val="single" w:sz="8" w:space="0" w:color="808080"/>
            </w:tcBorders>
            <w:vAlign w:val="center"/>
            <w:hideMark/>
          </w:tcPr>
          <w:p w:rsidR="002C0CCF" w:rsidRPr="008B43F6" w:rsidRDefault="002C0CCF" w:rsidP="00C92E54">
            <w:pPr>
              <w:spacing w:after="0"/>
              <w:rPr>
                <w:rFonts w:eastAsia="Times New Roman" w:cs="Calibri"/>
                <w:color w:val="000000"/>
                <w:sz w:val="20"/>
                <w:szCs w:val="20"/>
              </w:rPr>
            </w:pPr>
          </w:p>
        </w:tc>
      </w:tr>
      <w:tr w:rsidR="002C0CCF" w:rsidRPr="008B43F6" w:rsidTr="00AD6847">
        <w:trPr>
          <w:trHeight w:val="1326"/>
        </w:trPr>
        <w:tc>
          <w:tcPr>
            <w:tcW w:w="2411" w:type="dxa"/>
            <w:vMerge w:val="restart"/>
            <w:tcBorders>
              <w:top w:val="nil"/>
              <w:left w:val="single" w:sz="8" w:space="0" w:color="808080"/>
              <w:bottom w:val="single" w:sz="8" w:space="0" w:color="808080"/>
              <w:right w:val="single" w:sz="4" w:space="0" w:color="808080"/>
            </w:tcBorders>
            <w:shd w:val="clear" w:color="auto" w:fill="auto"/>
            <w:hideMark/>
          </w:tcPr>
          <w:p w:rsidR="002C0CCF" w:rsidRPr="008B43F6" w:rsidRDefault="002C0CCF" w:rsidP="00AD6847">
            <w:pPr>
              <w:spacing w:after="0"/>
              <w:rPr>
                <w:rFonts w:eastAsia="Times New Roman" w:cs="Calibri"/>
                <w:b/>
                <w:bCs/>
                <w:color w:val="000000"/>
                <w:sz w:val="19"/>
                <w:szCs w:val="19"/>
              </w:rPr>
            </w:pPr>
            <w:r w:rsidRPr="008B43F6">
              <w:rPr>
                <w:rFonts w:eastAsia="Times New Roman" w:cs="Calibri"/>
                <w:b/>
                <w:bCs/>
                <w:color w:val="000000"/>
                <w:sz w:val="19"/>
                <w:szCs w:val="19"/>
                <w:lang w:eastAsia="es-ES"/>
              </w:rPr>
              <w:t>Aparatos electrodomésticos y electrónicos: más aparatos de bajo consumo de energía y de corriente directa, incluyendo estufas de biomasa mejoradas</w:t>
            </w:r>
            <w:r w:rsidRPr="008B43F6">
              <w:rPr>
                <w:rFonts w:eastAsia="Times New Roman" w:cs="Calibri"/>
                <w:b/>
                <w:bCs/>
                <w:color w:val="000000"/>
                <w:sz w:val="19"/>
                <w:szCs w:val="19"/>
                <w:lang w:eastAsia="es-ES"/>
              </w:rPr>
              <w:br/>
              <w:t xml:space="preserve"> (IPCC 6.4.11; 6.6.2)</w:t>
            </w:r>
          </w:p>
        </w:tc>
        <w:tc>
          <w:tcPr>
            <w:tcW w:w="4536" w:type="dxa"/>
            <w:tcBorders>
              <w:top w:val="nil"/>
              <w:left w:val="nil"/>
              <w:bottom w:val="single" w:sz="4" w:space="0" w:color="808080"/>
              <w:right w:val="single" w:sz="4" w:space="0" w:color="808080"/>
            </w:tcBorders>
            <w:shd w:val="clear" w:color="auto" w:fill="auto"/>
            <w:hideMark/>
          </w:tcPr>
          <w:p w:rsidR="002C0CCF" w:rsidRPr="008B43F6" w:rsidRDefault="002C0CCF" w:rsidP="00604F72">
            <w:pPr>
              <w:rPr>
                <w:rFonts w:eastAsia="Times New Roman" w:cs="Calibri"/>
                <w:color w:val="000000"/>
                <w:sz w:val="19"/>
                <w:szCs w:val="19"/>
              </w:rPr>
            </w:pPr>
            <w:r w:rsidRPr="008B43F6">
              <w:rPr>
                <w:rFonts w:cs="Calibri"/>
                <w:b/>
                <w:bCs/>
                <w:color w:val="000000"/>
                <w:sz w:val="19"/>
                <w:szCs w:val="19"/>
              </w:rPr>
              <w:t>Exposición al medio ambiente</w:t>
            </w:r>
            <w:r w:rsidRPr="008B43F6">
              <w:rPr>
                <w:rFonts w:cs="Calibri"/>
                <w:color w:val="000000"/>
                <w:sz w:val="19"/>
                <w:szCs w:val="19"/>
              </w:rPr>
              <w:br/>
              <w:t>Reducción de la contaminación del aire al interior de las viviendas</w:t>
            </w:r>
            <w:r w:rsidRPr="008B43F6">
              <w:rPr>
                <w:rFonts w:cs="Calibri"/>
                <w:color w:val="000000"/>
                <w:sz w:val="19"/>
                <w:szCs w:val="19"/>
              </w:rPr>
              <w:br/>
              <w:t>Aumento en la seguridad alimentaria y en las condiciones higiénicas de las cocinas</w:t>
            </w:r>
          </w:p>
        </w:tc>
        <w:tc>
          <w:tcPr>
            <w:tcW w:w="2835" w:type="dxa"/>
            <w:vMerge w:val="restart"/>
            <w:tcBorders>
              <w:top w:val="nil"/>
              <w:left w:val="single" w:sz="4" w:space="0" w:color="808080"/>
              <w:bottom w:val="single" w:sz="8" w:space="0" w:color="808080"/>
              <w:right w:val="single" w:sz="8" w:space="0" w:color="808080"/>
            </w:tcBorders>
            <w:shd w:val="clear" w:color="auto" w:fill="auto"/>
            <w:hideMark/>
          </w:tcPr>
          <w:p w:rsidR="002C0CCF" w:rsidRPr="008B43F6" w:rsidRDefault="002C0CCF" w:rsidP="00604F72">
            <w:pPr>
              <w:spacing w:after="0"/>
              <w:rPr>
                <w:rFonts w:eastAsia="Times New Roman" w:cs="Calibri"/>
                <w:color w:val="000000"/>
                <w:sz w:val="19"/>
                <w:szCs w:val="19"/>
              </w:rPr>
            </w:pPr>
            <w:r w:rsidRPr="008B43F6">
              <w:rPr>
                <w:rFonts w:eastAsia="Times New Roman" w:cs="Calibri"/>
                <w:color w:val="000000"/>
                <w:sz w:val="19"/>
                <w:szCs w:val="19"/>
                <w:lang w:eastAsia="es-ES"/>
              </w:rPr>
              <w:t>La equidad en las ganancias depende del incremento al acceso que tienen los pobres a las nuevas tecnologías bajas en consumo de energía como estufas y otros aparatos domésticos</w:t>
            </w:r>
            <w:r w:rsidRPr="008B43F6">
              <w:rPr>
                <w:rFonts w:eastAsia="Times New Roman" w:cs="Calibri"/>
                <w:color w:val="000000"/>
                <w:sz w:val="19"/>
                <w:szCs w:val="19"/>
                <w:lang w:eastAsia="es-ES"/>
              </w:rPr>
              <w:br/>
              <w:t>Si no se logra una disminución equivalente en la totalidad del consumo de energía, es posible que en los países en desarrollo, los aparatos con mayor eficiencia (energética) no logren disminuir las emisiones de GHG y de contaminación en el aire</w:t>
            </w:r>
          </w:p>
        </w:tc>
      </w:tr>
      <w:tr w:rsidR="002C0CCF" w:rsidRPr="008B43F6" w:rsidTr="00AD6847">
        <w:trPr>
          <w:trHeight w:val="2400"/>
        </w:trPr>
        <w:tc>
          <w:tcPr>
            <w:tcW w:w="2411" w:type="dxa"/>
            <w:vMerge/>
            <w:tcBorders>
              <w:top w:val="nil"/>
              <w:left w:val="single" w:sz="8" w:space="0" w:color="808080"/>
              <w:bottom w:val="single" w:sz="8" w:space="0" w:color="808080"/>
              <w:right w:val="single" w:sz="4" w:space="0" w:color="808080"/>
            </w:tcBorders>
            <w:vAlign w:val="center"/>
            <w:hideMark/>
          </w:tcPr>
          <w:p w:rsidR="002C0CCF" w:rsidRPr="008B43F6" w:rsidRDefault="002C0CCF" w:rsidP="00C92E54">
            <w:pPr>
              <w:spacing w:after="0"/>
              <w:rPr>
                <w:rFonts w:eastAsia="Times New Roman" w:cs="Calibri"/>
                <w:b/>
                <w:bCs/>
                <w:color w:val="000000"/>
                <w:sz w:val="20"/>
                <w:szCs w:val="20"/>
              </w:rPr>
            </w:pPr>
          </w:p>
        </w:tc>
        <w:tc>
          <w:tcPr>
            <w:tcW w:w="4536" w:type="dxa"/>
            <w:tcBorders>
              <w:top w:val="nil"/>
              <w:left w:val="nil"/>
              <w:bottom w:val="single" w:sz="4" w:space="0" w:color="808080"/>
              <w:right w:val="single" w:sz="4" w:space="0" w:color="808080"/>
            </w:tcBorders>
            <w:shd w:val="clear" w:color="auto" w:fill="auto"/>
            <w:hideMark/>
          </w:tcPr>
          <w:p w:rsidR="002C0CCF" w:rsidRPr="008B43F6" w:rsidRDefault="002C0CCF" w:rsidP="00C92E54">
            <w:pPr>
              <w:rPr>
                <w:rFonts w:eastAsia="Times New Roman" w:cs="Calibri"/>
                <w:color w:val="000000"/>
                <w:sz w:val="19"/>
                <w:szCs w:val="19"/>
              </w:rPr>
            </w:pPr>
            <w:r w:rsidRPr="008B43F6">
              <w:rPr>
                <w:rFonts w:cs="Calibri"/>
                <w:b/>
                <w:bCs/>
                <w:color w:val="000000"/>
                <w:sz w:val="19"/>
                <w:szCs w:val="19"/>
              </w:rPr>
              <w:t>Reducción del riesgo de enfermedad</w:t>
            </w:r>
            <w:r w:rsidRPr="008B43F6">
              <w:rPr>
                <w:rFonts w:cs="Calibri"/>
                <w:color w:val="000000"/>
                <w:sz w:val="19"/>
                <w:szCs w:val="19"/>
              </w:rPr>
              <w:br/>
              <w:t xml:space="preserve">Reducción del asma y de las enfermedades respiratorias; </w:t>
            </w:r>
            <w:r w:rsidRPr="008B43F6">
              <w:rPr>
                <w:rFonts w:cs="Calibri"/>
                <w:color w:val="000000"/>
                <w:sz w:val="19"/>
                <w:szCs w:val="19"/>
              </w:rPr>
              <w:br/>
              <w:t>reducción de quemaduras causadas por estufas y calefactores inadecuados.</w:t>
            </w:r>
            <w:r w:rsidRPr="008B43F6">
              <w:rPr>
                <w:rFonts w:cs="Calibri"/>
                <w:color w:val="000000"/>
                <w:sz w:val="19"/>
                <w:szCs w:val="19"/>
              </w:rPr>
              <w:br/>
              <w:t>Reducción en las enfermedades pulmonares obstructivas crónicas (COPD), el cáncer y las enfermedades cardiovasculares</w:t>
            </w:r>
          </w:p>
        </w:tc>
        <w:tc>
          <w:tcPr>
            <w:tcW w:w="2835" w:type="dxa"/>
            <w:vMerge/>
            <w:tcBorders>
              <w:top w:val="nil"/>
              <w:left w:val="single" w:sz="4" w:space="0" w:color="808080"/>
              <w:bottom w:val="single" w:sz="8" w:space="0" w:color="808080"/>
              <w:right w:val="single" w:sz="8" w:space="0" w:color="808080"/>
            </w:tcBorders>
            <w:vAlign w:val="center"/>
            <w:hideMark/>
          </w:tcPr>
          <w:p w:rsidR="002C0CCF" w:rsidRPr="008B43F6" w:rsidRDefault="002C0CCF" w:rsidP="00C92E54">
            <w:pPr>
              <w:spacing w:after="0"/>
              <w:rPr>
                <w:rFonts w:eastAsia="Times New Roman" w:cs="Calibri"/>
                <w:color w:val="000000"/>
                <w:sz w:val="20"/>
                <w:szCs w:val="20"/>
              </w:rPr>
            </w:pPr>
          </w:p>
        </w:tc>
      </w:tr>
      <w:tr w:rsidR="002C0CCF" w:rsidRPr="008B43F6" w:rsidTr="00AD6847">
        <w:trPr>
          <w:trHeight w:val="627"/>
        </w:trPr>
        <w:tc>
          <w:tcPr>
            <w:tcW w:w="2411" w:type="dxa"/>
            <w:vMerge/>
            <w:tcBorders>
              <w:top w:val="nil"/>
              <w:left w:val="single" w:sz="8" w:space="0" w:color="808080"/>
              <w:bottom w:val="single" w:sz="8" w:space="0" w:color="808080"/>
              <w:right w:val="single" w:sz="4" w:space="0" w:color="808080"/>
            </w:tcBorders>
            <w:vAlign w:val="center"/>
            <w:hideMark/>
          </w:tcPr>
          <w:p w:rsidR="002C0CCF" w:rsidRPr="008B43F6" w:rsidRDefault="002C0CCF" w:rsidP="00C92E54">
            <w:pPr>
              <w:spacing w:after="0"/>
              <w:rPr>
                <w:rFonts w:eastAsia="Times New Roman" w:cs="Calibri"/>
                <w:b/>
                <w:bCs/>
                <w:color w:val="000000"/>
                <w:sz w:val="20"/>
                <w:szCs w:val="20"/>
              </w:rPr>
            </w:pPr>
          </w:p>
        </w:tc>
        <w:tc>
          <w:tcPr>
            <w:tcW w:w="4536" w:type="dxa"/>
            <w:tcBorders>
              <w:top w:val="nil"/>
              <w:left w:val="nil"/>
              <w:bottom w:val="single" w:sz="8" w:space="0" w:color="808080"/>
              <w:right w:val="single" w:sz="4" w:space="0" w:color="808080"/>
            </w:tcBorders>
            <w:shd w:val="clear" w:color="auto" w:fill="auto"/>
            <w:hideMark/>
          </w:tcPr>
          <w:p w:rsidR="002C0CCF" w:rsidRPr="008B43F6" w:rsidRDefault="002C0CCF" w:rsidP="00C92E54">
            <w:pPr>
              <w:rPr>
                <w:rFonts w:eastAsia="Times New Roman" w:cs="Calibri"/>
                <w:color w:val="000000"/>
                <w:sz w:val="19"/>
                <w:szCs w:val="19"/>
              </w:rPr>
            </w:pPr>
            <w:r w:rsidRPr="008B43F6">
              <w:rPr>
                <w:rFonts w:cs="Calibri"/>
                <w:b/>
                <w:bCs/>
                <w:color w:val="000000"/>
                <w:sz w:val="19"/>
                <w:szCs w:val="19"/>
              </w:rPr>
              <w:t xml:space="preserve">Impactos de equidad </w:t>
            </w:r>
            <w:r w:rsidRPr="008B43F6">
              <w:rPr>
                <w:rFonts w:cs="Calibri"/>
                <w:color w:val="000000"/>
                <w:sz w:val="19"/>
                <w:szCs w:val="19"/>
              </w:rPr>
              <w:br/>
              <w:t>Acceso a biomasa más limpia y a estufas de biogás</w:t>
            </w:r>
          </w:p>
        </w:tc>
        <w:tc>
          <w:tcPr>
            <w:tcW w:w="2835" w:type="dxa"/>
            <w:vMerge/>
            <w:tcBorders>
              <w:top w:val="nil"/>
              <w:left w:val="single" w:sz="4" w:space="0" w:color="808080"/>
              <w:bottom w:val="single" w:sz="8" w:space="0" w:color="808080"/>
              <w:right w:val="single" w:sz="8" w:space="0" w:color="808080"/>
            </w:tcBorders>
            <w:vAlign w:val="center"/>
            <w:hideMark/>
          </w:tcPr>
          <w:p w:rsidR="002C0CCF" w:rsidRPr="008B43F6" w:rsidRDefault="002C0CCF" w:rsidP="00C92E54">
            <w:pPr>
              <w:spacing w:after="0"/>
              <w:rPr>
                <w:rFonts w:eastAsia="Times New Roman" w:cs="Calibri"/>
                <w:color w:val="000000"/>
                <w:sz w:val="20"/>
                <w:szCs w:val="20"/>
              </w:rPr>
            </w:pPr>
          </w:p>
        </w:tc>
      </w:tr>
    </w:tbl>
    <w:p w:rsidR="002C0CCF" w:rsidRPr="008B43F6" w:rsidRDefault="002C0CCF" w:rsidP="00AD6847">
      <w:pPr>
        <w:spacing w:after="0"/>
        <w:rPr>
          <w:rFonts w:cstheme="minorHAnsi"/>
          <w:sz w:val="18"/>
          <w:szCs w:val="18"/>
        </w:rPr>
      </w:pPr>
      <w:r w:rsidRPr="008B43F6">
        <w:rPr>
          <w:rFonts w:cstheme="minorHAnsi"/>
          <w:sz w:val="18"/>
          <w:szCs w:val="18"/>
        </w:rPr>
        <w:t xml:space="preserve">Fuente: </w:t>
      </w:r>
      <w:r w:rsidRPr="008B43F6">
        <w:rPr>
          <w:rFonts w:cstheme="minorHAnsi"/>
          <w:sz w:val="18"/>
          <w:szCs w:val="18"/>
        </w:rPr>
        <w:fldChar w:fldCharType="begin"/>
      </w:r>
      <w:r w:rsidRPr="008B43F6">
        <w:rPr>
          <w:rFonts w:cstheme="minorHAnsi"/>
          <w:sz w:val="18"/>
          <w:szCs w:val="18"/>
        </w:rPr>
        <w:instrText xml:space="preserve"> ADDIN EN.CITE &lt;EndNote&gt;&lt;Cite&gt;&lt;Author&gt;Röbbel&lt;/Author&gt;&lt;Year&gt;2011&lt;/Year&gt;&lt;RecNum&gt;16&lt;/RecNum&gt;&lt;DisplayText&gt;[1]&lt;/DisplayText&gt;&lt;record&gt;&lt;rec-number&gt;16&lt;/rec-number&gt;&lt;foreign-keys&gt;&lt;key app="EN" db-id="w0w9edzzlxxfdgesvf359ft8wzxverspwaav"&gt;16&lt;/key&gt;&lt;/foreign-keys&gt;&lt;ref-type name="Report"&gt;27&lt;/ref-type&gt;&lt;contributors&gt;&lt;authors&gt;&lt;author&gt;Nathalie Röbbel&lt;/author&gt;&lt;/authors&gt;&lt;/contributors&gt;&lt;titles&gt;&lt;title&gt;Health co-benefits of climate change mitigation – Housing sector&lt;/title&gt;&lt;secondary-title&gt;Health in the green economy&lt;/secondary-title&gt;&lt;/titles&gt;&lt;dates&gt;&lt;year&gt;2011&lt;/year&gt;&lt;/dates&gt;&lt;pub-location&gt;Geneva, Switzerland&lt;/pub-location&gt;&lt;publisher&gt;World Health Organization&lt;/publisher&gt;&lt;urls&gt;&lt;related-urls&gt;&lt;url&gt;http://whqlibdoc.who.int/publications/2011/9789241501712_eng.pdf&lt;/url&gt;&lt;/related-urls&gt;&lt;/urls&gt;&lt;/record&gt;&lt;/Cite&gt;&lt;/EndNote&gt;</w:instrText>
      </w:r>
      <w:r w:rsidRPr="008B43F6">
        <w:rPr>
          <w:rFonts w:cstheme="minorHAnsi"/>
          <w:sz w:val="18"/>
          <w:szCs w:val="18"/>
        </w:rPr>
        <w:fldChar w:fldCharType="separate"/>
      </w:r>
      <w:r w:rsidRPr="008B43F6">
        <w:rPr>
          <w:rFonts w:cstheme="minorHAnsi"/>
          <w:noProof/>
          <w:sz w:val="18"/>
          <w:szCs w:val="18"/>
        </w:rPr>
        <w:t>[</w:t>
      </w:r>
      <w:hyperlink w:anchor="_ENREF_1" w:tooltip="Röbbel, 2011 #16" w:history="1">
        <w:r w:rsidR="00251C87" w:rsidRPr="008B43F6">
          <w:rPr>
            <w:rFonts w:cstheme="minorHAnsi"/>
            <w:noProof/>
            <w:sz w:val="18"/>
            <w:szCs w:val="18"/>
          </w:rPr>
          <w:t>1</w:t>
        </w:r>
      </w:hyperlink>
      <w:r w:rsidRPr="008B43F6">
        <w:rPr>
          <w:rFonts w:cstheme="minorHAnsi"/>
          <w:noProof/>
          <w:sz w:val="18"/>
          <w:szCs w:val="18"/>
        </w:rPr>
        <w:t>]</w:t>
      </w:r>
      <w:r w:rsidRPr="008B43F6">
        <w:rPr>
          <w:rFonts w:cstheme="minorHAnsi"/>
          <w:sz w:val="18"/>
          <w:szCs w:val="18"/>
        </w:rPr>
        <w:fldChar w:fldCharType="end"/>
      </w:r>
    </w:p>
    <w:p w:rsidR="002C0CCF" w:rsidRPr="008B43F6" w:rsidRDefault="002C0CCF" w:rsidP="00C92E54">
      <w:pPr>
        <w:rPr>
          <w:rFonts w:cs="MinionPro-Regular"/>
        </w:rPr>
      </w:pPr>
      <w:r w:rsidRPr="008B43F6">
        <w:rPr>
          <w:b/>
          <w:color w:val="4F81BD" w:themeColor="accent1"/>
        </w:rPr>
        <w:lastRenderedPageBreak/>
        <w:t>Costos asociados a las enfermedades en la vivienda</w:t>
      </w:r>
    </w:p>
    <w:p w:rsidR="002C0CCF" w:rsidRPr="008B43F6" w:rsidRDefault="002C0CCF" w:rsidP="00C92E54">
      <w:pPr>
        <w:autoSpaceDE w:val="0"/>
        <w:autoSpaceDN w:val="0"/>
        <w:adjustRightInd w:val="0"/>
        <w:spacing w:after="0"/>
      </w:pPr>
      <w:r w:rsidRPr="008B43F6">
        <w:t xml:space="preserve">Las enfermedades traen consigo una serie de costos directos e indirectos, por lo que un enfoque preventivo puede tener impactos económicos positivos. Algunos de ellos se ejemplifican en la Tabla 2. </w:t>
      </w:r>
    </w:p>
    <w:p w:rsidR="002C0CCF" w:rsidRPr="008B43F6" w:rsidRDefault="002C0CCF" w:rsidP="00C92E54"/>
    <w:p w:rsidR="002C0CCF" w:rsidRPr="008B43F6" w:rsidRDefault="002C0CCF" w:rsidP="00C92E54">
      <w:pPr>
        <w:rPr>
          <w:sz w:val="18"/>
          <w:szCs w:val="18"/>
        </w:rPr>
      </w:pPr>
      <w:r w:rsidRPr="008B43F6">
        <w:rPr>
          <w:sz w:val="18"/>
          <w:szCs w:val="18"/>
        </w:rPr>
        <w:t>Tabla 2. Costos de las enfermedades</w:t>
      </w:r>
    </w:p>
    <w:tbl>
      <w:tblPr>
        <w:tblStyle w:val="Tablaconcuadrcula"/>
        <w:tblW w:w="0" w:type="auto"/>
        <w:tblLook w:val="04A0" w:firstRow="1" w:lastRow="0" w:firstColumn="1" w:lastColumn="0" w:noHBand="0" w:noVBand="1"/>
      </w:tblPr>
      <w:tblGrid>
        <w:gridCol w:w="3018"/>
        <w:gridCol w:w="3018"/>
        <w:gridCol w:w="3018"/>
      </w:tblGrid>
      <w:tr w:rsidR="002C0CCF" w:rsidRPr="008B43F6" w:rsidTr="00F14047">
        <w:tc>
          <w:tcPr>
            <w:tcW w:w="3018" w:type="dxa"/>
          </w:tcPr>
          <w:p w:rsidR="002C0CCF" w:rsidRPr="008B43F6" w:rsidRDefault="002C0CCF" w:rsidP="00C92E54">
            <w:pPr>
              <w:spacing w:line="276" w:lineRule="auto"/>
              <w:rPr>
                <w:b/>
                <w:sz w:val="18"/>
                <w:szCs w:val="18"/>
              </w:rPr>
            </w:pPr>
            <w:r w:rsidRPr="008B43F6">
              <w:rPr>
                <w:b/>
                <w:sz w:val="18"/>
                <w:szCs w:val="18"/>
              </w:rPr>
              <w:t>Costos directos (recursos gastados)</w:t>
            </w:r>
          </w:p>
        </w:tc>
        <w:tc>
          <w:tcPr>
            <w:tcW w:w="3018" w:type="dxa"/>
          </w:tcPr>
          <w:p w:rsidR="002C0CCF" w:rsidRPr="008B43F6" w:rsidRDefault="002C0CCF" w:rsidP="00C92E54">
            <w:pPr>
              <w:spacing w:line="276" w:lineRule="auto"/>
              <w:rPr>
                <w:b/>
                <w:sz w:val="18"/>
                <w:szCs w:val="18"/>
              </w:rPr>
            </w:pPr>
            <w:r w:rsidRPr="008B43F6">
              <w:rPr>
                <w:b/>
                <w:sz w:val="18"/>
                <w:szCs w:val="18"/>
              </w:rPr>
              <w:t>Costos indirectos</w:t>
            </w:r>
          </w:p>
        </w:tc>
        <w:tc>
          <w:tcPr>
            <w:tcW w:w="3018" w:type="dxa"/>
          </w:tcPr>
          <w:p w:rsidR="002C0CCF" w:rsidRPr="008B43F6" w:rsidRDefault="002C0CCF" w:rsidP="00C92E54">
            <w:pPr>
              <w:spacing w:line="276" w:lineRule="auto"/>
              <w:rPr>
                <w:b/>
                <w:sz w:val="18"/>
                <w:szCs w:val="18"/>
              </w:rPr>
            </w:pPr>
            <w:r w:rsidRPr="008B43F6">
              <w:rPr>
                <w:b/>
                <w:sz w:val="18"/>
                <w:szCs w:val="18"/>
              </w:rPr>
              <w:t>Costos intangibles (calidad de vida)</w:t>
            </w:r>
          </w:p>
        </w:tc>
      </w:tr>
      <w:tr w:rsidR="002C0CCF" w:rsidRPr="008B43F6" w:rsidTr="00F14047">
        <w:tc>
          <w:tcPr>
            <w:tcW w:w="3018" w:type="dxa"/>
          </w:tcPr>
          <w:p w:rsidR="002C0CCF" w:rsidRPr="008B43F6" w:rsidRDefault="002C0CCF" w:rsidP="00C92E54">
            <w:pPr>
              <w:spacing w:line="276" w:lineRule="auto"/>
              <w:rPr>
                <w:sz w:val="18"/>
                <w:szCs w:val="18"/>
              </w:rPr>
            </w:pPr>
            <w:r w:rsidRPr="008B43F6">
              <w:rPr>
                <w:sz w:val="18"/>
                <w:szCs w:val="18"/>
              </w:rPr>
              <w:t xml:space="preserve">Costo de los honorarios de médicos y enfermeras </w:t>
            </w:r>
          </w:p>
        </w:tc>
        <w:tc>
          <w:tcPr>
            <w:tcW w:w="3018" w:type="dxa"/>
          </w:tcPr>
          <w:p w:rsidR="002C0CCF" w:rsidRPr="008B43F6" w:rsidRDefault="002C0CCF" w:rsidP="00C92E54">
            <w:pPr>
              <w:spacing w:line="276" w:lineRule="auto"/>
              <w:rPr>
                <w:sz w:val="18"/>
                <w:szCs w:val="18"/>
              </w:rPr>
            </w:pPr>
            <w:r w:rsidRPr="008B43F6">
              <w:rPr>
                <w:sz w:val="18"/>
                <w:szCs w:val="18"/>
              </w:rPr>
              <w:t xml:space="preserve">Pérdida de trabajo productivo por paciente </w:t>
            </w:r>
          </w:p>
        </w:tc>
        <w:tc>
          <w:tcPr>
            <w:tcW w:w="3018" w:type="dxa"/>
          </w:tcPr>
          <w:p w:rsidR="002C0CCF" w:rsidRPr="008B43F6" w:rsidRDefault="002C0CCF" w:rsidP="00C92E54">
            <w:pPr>
              <w:spacing w:line="276" w:lineRule="auto"/>
              <w:rPr>
                <w:sz w:val="18"/>
                <w:szCs w:val="18"/>
              </w:rPr>
            </w:pPr>
            <w:r w:rsidRPr="008B43F6">
              <w:rPr>
                <w:sz w:val="18"/>
                <w:szCs w:val="18"/>
              </w:rPr>
              <w:t>Pena, angustia (del paciente y de la familia del paciente)</w:t>
            </w:r>
          </w:p>
        </w:tc>
      </w:tr>
      <w:tr w:rsidR="002C0CCF" w:rsidRPr="008B43F6" w:rsidTr="00F14047">
        <w:tc>
          <w:tcPr>
            <w:tcW w:w="3018" w:type="dxa"/>
          </w:tcPr>
          <w:p w:rsidR="002C0CCF" w:rsidRPr="008B43F6" w:rsidRDefault="002C0CCF" w:rsidP="00C92E54">
            <w:pPr>
              <w:spacing w:line="276" w:lineRule="auto"/>
              <w:rPr>
                <w:sz w:val="18"/>
                <w:szCs w:val="18"/>
                <w:lang w:val="en-US"/>
              </w:rPr>
            </w:pPr>
            <w:r w:rsidRPr="008B43F6">
              <w:rPr>
                <w:sz w:val="18"/>
                <w:szCs w:val="18"/>
                <w:lang w:val="en-US"/>
              </w:rPr>
              <w:t>Costo de los medicamentos</w:t>
            </w:r>
          </w:p>
        </w:tc>
        <w:tc>
          <w:tcPr>
            <w:tcW w:w="3018" w:type="dxa"/>
          </w:tcPr>
          <w:p w:rsidR="002C0CCF" w:rsidRPr="008B43F6" w:rsidRDefault="002C0CCF" w:rsidP="00C92E54">
            <w:pPr>
              <w:spacing w:line="276" w:lineRule="auto"/>
              <w:rPr>
                <w:sz w:val="18"/>
                <w:szCs w:val="18"/>
              </w:rPr>
            </w:pPr>
            <w:r w:rsidRPr="008B43F6">
              <w:rPr>
                <w:sz w:val="18"/>
                <w:szCs w:val="18"/>
              </w:rPr>
              <w:t>Pérdida de trabajo productivo por la familia del paciente</w:t>
            </w:r>
          </w:p>
        </w:tc>
        <w:tc>
          <w:tcPr>
            <w:tcW w:w="3018" w:type="dxa"/>
          </w:tcPr>
          <w:p w:rsidR="002C0CCF" w:rsidRPr="008B43F6" w:rsidRDefault="002C0CCF" w:rsidP="00C92E54">
            <w:pPr>
              <w:spacing w:line="276" w:lineRule="auto"/>
              <w:rPr>
                <w:sz w:val="18"/>
                <w:szCs w:val="18"/>
              </w:rPr>
            </w:pPr>
            <w:r w:rsidRPr="008B43F6">
              <w:rPr>
                <w:sz w:val="18"/>
                <w:szCs w:val="18"/>
              </w:rPr>
              <w:t>Dolor (del paciente y de la familia del paciente)</w:t>
            </w:r>
          </w:p>
        </w:tc>
      </w:tr>
      <w:tr w:rsidR="002C0CCF" w:rsidRPr="008B43F6" w:rsidTr="00F14047">
        <w:tc>
          <w:tcPr>
            <w:tcW w:w="3018" w:type="dxa"/>
          </w:tcPr>
          <w:p w:rsidR="002C0CCF" w:rsidRPr="008B43F6" w:rsidRDefault="002C0CCF" w:rsidP="00C92E54">
            <w:pPr>
              <w:spacing w:line="276" w:lineRule="auto"/>
              <w:rPr>
                <w:sz w:val="18"/>
                <w:szCs w:val="18"/>
              </w:rPr>
            </w:pPr>
            <w:r w:rsidRPr="008B43F6">
              <w:rPr>
                <w:sz w:val="18"/>
                <w:szCs w:val="18"/>
              </w:rPr>
              <w:t>Costo de los tratamientos en hospitales</w:t>
            </w:r>
          </w:p>
        </w:tc>
        <w:tc>
          <w:tcPr>
            <w:tcW w:w="3018" w:type="dxa"/>
          </w:tcPr>
          <w:p w:rsidR="002C0CCF" w:rsidRPr="008B43F6" w:rsidRDefault="002C0CCF" w:rsidP="00C92E54">
            <w:pPr>
              <w:spacing w:line="276" w:lineRule="auto"/>
              <w:rPr>
                <w:sz w:val="18"/>
                <w:szCs w:val="18"/>
              </w:rPr>
            </w:pPr>
            <w:r w:rsidRPr="008B43F6">
              <w:rPr>
                <w:sz w:val="18"/>
                <w:szCs w:val="18"/>
              </w:rPr>
              <w:t xml:space="preserve">Pérdida de trabajo productivo por el retiro temprano o la muerte prematura del paciente </w:t>
            </w:r>
          </w:p>
        </w:tc>
        <w:tc>
          <w:tcPr>
            <w:tcW w:w="3018" w:type="dxa"/>
          </w:tcPr>
          <w:p w:rsidR="002C0CCF" w:rsidRPr="008B43F6" w:rsidRDefault="002C0CCF" w:rsidP="00C92E54">
            <w:pPr>
              <w:spacing w:line="276" w:lineRule="auto"/>
              <w:rPr>
                <w:sz w:val="18"/>
                <w:szCs w:val="18"/>
              </w:rPr>
            </w:pPr>
            <w:r w:rsidRPr="008B43F6">
              <w:rPr>
                <w:sz w:val="18"/>
                <w:szCs w:val="18"/>
              </w:rPr>
              <w:t>Tristeza (del paciente y de la familia del paciente)</w:t>
            </w:r>
          </w:p>
        </w:tc>
      </w:tr>
    </w:tbl>
    <w:p w:rsidR="002C0CCF" w:rsidRPr="008B43F6" w:rsidRDefault="002C0CCF" w:rsidP="00C92E54">
      <w:pPr>
        <w:rPr>
          <w:rFonts w:cs="MinionPro-Regular"/>
          <w:sz w:val="18"/>
          <w:szCs w:val="18"/>
        </w:rPr>
      </w:pPr>
      <w:r w:rsidRPr="008B43F6">
        <w:rPr>
          <w:rFonts w:cs="MinionPro-Regular"/>
          <w:sz w:val="18"/>
          <w:szCs w:val="18"/>
        </w:rPr>
        <w:t xml:space="preserve">FUENTE: </w:t>
      </w:r>
      <w:r w:rsidRPr="008B43F6">
        <w:rPr>
          <w:rFonts w:cs="MinionPro-Regular"/>
          <w:sz w:val="18"/>
          <w:szCs w:val="18"/>
          <w:lang w:val="en-US"/>
        </w:rPr>
        <w:fldChar w:fldCharType="begin"/>
      </w:r>
      <w:r w:rsidR="00251C87" w:rsidRPr="00251C87">
        <w:rPr>
          <w:rFonts w:cs="MinionPro-Regular"/>
          <w:sz w:val="18"/>
          <w:szCs w:val="18"/>
        </w:rPr>
        <w:instrText xml:space="preserve"> ADDIN EN.CITE &lt;EndNote&gt;&lt;Cite&gt;&lt;Author&gt;Barnes&lt;/Author&gt;&lt;Year&gt;1996&lt;/Year&gt;&lt;RecNum&gt;47&lt;/RecNum&gt;&lt;DisplayText&gt;[52]&lt;/DisplayText&gt;&lt;record&gt;&lt;rec-number&gt;47&lt;/rec-number&gt;&lt;foreign-keys&gt;&lt;key app="EN" db-id="w0w9edzzlxxfdgesvf359ft8wzxverspwaav"&gt;47&lt;/key&gt;&lt;/foreign-keys&gt;&lt;ref-type name="Journal Article"&gt;17&lt;/ref-type&gt;&lt;contributors&gt;&lt;authors&gt;&lt;author&gt;P.J. Barnes&lt;/author&gt;&lt;author&gt; B. Jonsson&lt;/author&gt;&lt;author&gt;Klim&lt;/author&gt;&lt;/authors&gt;&lt;/contributors&gt;&lt;titles&gt;&lt;title&gt;The costs of asthma&lt;/title&gt;&lt;secondary-title&gt;European Respiratory Journal&lt;/secondary-title&gt;&lt;/titles&gt;&lt;periodical&gt;&lt;full-title&gt;European Respiratory Journal&lt;/full-title&gt;&lt;/periodical&gt;&lt;pages&gt;636–642&lt;/pages&gt;&lt;volume&gt;9&lt;/volume&gt;&lt;dates&gt;&lt;year&gt;1996&lt;/year&gt;&lt;/dates&gt;&lt;urls&gt;&lt;related-urls&gt;&lt;url&gt;http://erj.ersjournals.com/content/9/4/636.long&lt;/url&gt;&lt;/related-urls&gt;&lt;/urls&gt;&lt;/record&gt;&lt;/Cite&gt;&lt;/EndNote&gt;</w:instrText>
      </w:r>
      <w:r w:rsidRPr="008B43F6">
        <w:rPr>
          <w:rFonts w:cs="MinionPro-Regular"/>
          <w:sz w:val="18"/>
          <w:szCs w:val="18"/>
          <w:lang w:val="en-US"/>
        </w:rPr>
        <w:fldChar w:fldCharType="separate"/>
      </w:r>
      <w:r w:rsidR="00251C87" w:rsidRPr="00251C87">
        <w:rPr>
          <w:rFonts w:cs="MinionPro-Regular"/>
          <w:noProof/>
          <w:sz w:val="18"/>
          <w:szCs w:val="18"/>
        </w:rPr>
        <w:t>[</w:t>
      </w:r>
      <w:hyperlink w:anchor="_ENREF_52" w:tooltip="Barnes, 1996 #47" w:history="1">
        <w:r w:rsidR="00251C87" w:rsidRPr="00251C87">
          <w:rPr>
            <w:rFonts w:cs="MinionPro-Regular"/>
            <w:noProof/>
            <w:sz w:val="18"/>
            <w:szCs w:val="18"/>
          </w:rPr>
          <w:t>52</w:t>
        </w:r>
      </w:hyperlink>
      <w:r w:rsidR="00251C87" w:rsidRPr="00251C87">
        <w:rPr>
          <w:rFonts w:cs="MinionPro-Regular"/>
          <w:noProof/>
          <w:sz w:val="18"/>
          <w:szCs w:val="18"/>
        </w:rPr>
        <w:t>]</w:t>
      </w:r>
      <w:r w:rsidRPr="008B43F6">
        <w:rPr>
          <w:rFonts w:cs="MinionPro-Regular"/>
          <w:sz w:val="18"/>
          <w:szCs w:val="18"/>
          <w:lang w:val="en-US"/>
        </w:rPr>
        <w:fldChar w:fldCharType="end"/>
      </w:r>
    </w:p>
    <w:p w:rsidR="002C0CCF" w:rsidRPr="008B43F6" w:rsidRDefault="002C0CCF" w:rsidP="00C92E54">
      <w:pPr>
        <w:autoSpaceDE w:val="0"/>
        <w:autoSpaceDN w:val="0"/>
        <w:adjustRightInd w:val="0"/>
        <w:spacing w:after="0"/>
        <w:rPr>
          <w:rFonts w:cs="MinionPro-Regular"/>
          <w:color w:val="FF0000"/>
        </w:rPr>
      </w:pPr>
    </w:p>
    <w:p w:rsidR="002C0CCF" w:rsidRPr="008B43F6" w:rsidRDefault="002C0CCF" w:rsidP="00AD6847">
      <w:pPr>
        <w:autoSpaceDE w:val="0"/>
        <w:autoSpaceDN w:val="0"/>
        <w:adjustRightInd w:val="0"/>
        <w:spacing w:after="0"/>
        <w:jc w:val="both"/>
        <w:rPr>
          <w:rFonts w:cs="MinionPro-Regular"/>
        </w:rPr>
      </w:pPr>
      <w:r w:rsidRPr="008B43F6">
        <w:rPr>
          <w:rFonts w:cs="MinionPro-Regular"/>
        </w:rPr>
        <w:t>Una revista internacional de estudios de caso cita evidencias de que las estrategias de ventilación natural de alto rendimiento pueden reducir las enfermedades respiratorias del 9% al 20% y aumentar la productividad individual entre el 0.48% y el 11%, solamente a partir de un gasto mínimo en la energía necesaria para aumentar el flujo y el intercambio del aire en interiores.</w:t>
      </w:r>
      <w:r w:rsidRPr="008B43F6">
        <w:rPr>
          <w:rFonts w:eastAsia="Times New Roman" w:cs="Times New Roman"/>
          <w:lang w:val="es-ES" w:eastAsia="es-MX"/>
        </w:rPr>
        <w:t xml:space="preserve"> </w:t>
      </w:r>
      <w:r w:rsidRPr="008B43F6">
        <w:rPr>
          <w:rFonts w:cs="MinionPro-Regular"/>
        </w:rPr>
        <w:t xml:space="preserve">Algunas investigaciones sobre los trastornos de salud relacionados con la contaminación del aire interior –también conocidos comúnmente como "síndrome del edificio enfermo"– han estimado que, aunada a una mejor salud y productividad, la ventilación natural y el acondicionamiento mixto del aire pueden generar un ahorro energía de entre 25 y 50%. Las tasas de ventilación </w:t>
      </w:r>
      <w:r w:rsidRPr="008B43F6">
        <w:rPr>
          <w:rFonts w:cs="MinionPro-Regular"/>
        </w:rPr>
        <w:softHyphen/>
      </w:r>
      <w:r w:rsidRPr="008B43F6">
        <w:rPr>
          <w:rFonts w:cs="MinionPro-Regular"/>
        </w:rPr>
        <w:softHyphen/>
      </w:r>
      <w:r w:rsidRPr="008B43F6">
        <w:rPr>
          <w:rFonts w:cs="MinionPro-Regular"/>
        </w:rPr>
        <w:softHyphen/>
      </w:r>
      <w:r w:rsidRPr="008B43F6">
        <w:rPr>
          <w:rFonts w:cs="MinionPro-Regular"/>
        </w:rPr>
        <w:softHyphen/>
      </w:r>
      <w:r w:rsidRPr="008B43F6">
        <w:rPr>
          <w:rFonts w:cs="MinionPro-Regular"/>
        </w:rPr>
        <w:softHyphen/>
        <w:t xml:space="preserve">adecuada y el intercambio de aire también son importantes para la reducir los riesgos de contaminación del aire en interiores, ya que éstos son detonantes comunes de enfermedades respiratorias no contagiosas, incluyendo alergias y diferentes tipos de asma </w:t>
      </w:r>
      <w:r w:rsidRPr="008B43F6">
        <w:rPr>
          <w:rFonts w:cs="MinionPro-Regular"/>
          <w:lang w:val="en-US"/>
        </w:rPr>
        <w:fldChar w:fldCharType="begin"/>
      </w:r>
      <w:r w:rsidR="00251C87" w:rsidRPr="00251C87">
        <w:rPr>
          <w:rFonts w:cs="MinionPro-Regular"/>
        </w:rPr>
        <w:instrText xml:space="preserve"> ADDIN EN.CITE &lt;EndNote&gt;&lt;Cite&gt;&lt;Year&gt;2011&lt;/Year&gt;&lt;RecNum&gt;48&lt;/RecNum&gt;&lt;DisplayText&gt;[53]&lt;/DisplayText&gt;&lt;record&gt;&lt;rec-number&gt;48&lt;/rec-number&gt;&lt;foreign-keys&gt;&lt;key app="EN" db-id="w0w9edzzlxxfdgesvf359ft8wzxverspwaav"&gt;48&lt;/key&gt;&lt;/foreign-keys&gt;&lt;ref-type name="Report"&gt;27&lt;/ref-type&gt;&lt;contributors&gt;&lt;/contributors&gt;&lt;titles&gt;&lt;title&gt;2011 WHO Global Health Expenditure Atlas&lt;/title&gt;&lt;/titles&gt;&lt;dates&gt;&lt;year&gt;2011&lt;/year&gt;&lt;/dates&gt;&lt;pub-location&gt;Geneva, Switzerland&lt;/pub-location&gt;&lt;publisher&gt;World Health Organization&lt;/publisher&gt;&lt;urls&gt;&lt;related-urls&gt;&lt;url&gt;http://www.who.int/nha/atlas.pdf&lt;/url&gt;&lt;/related-urls&gt;&lt;/urls&gt;&lt;/record&gt;&lt;/Cite&gt;&lt;/EndNote&gt;</w:instrText>
      </w:r>
      <w:r w:rsidRPr="008B43F6">
        <w:rPr>
          <w:rFonts w:cs="MinionPro-Regular"/>
          <w:lang w:val="en-US"/>
        </w:rPr>
        <w:fldChar w:fldCharType="separate"/>
      </w:r>
      <w:r w:rsidR="00251C87" w:rsidRPr="00251C87">
        <w:rPr>
          <w:rFonts w:cs="MinionPro-Regular"/>
          <w:noProof/>
        </w:rPr>
        <w:t>[</w:t>
      </w:r>
      <w:hyperlink w:anchor="_ENREF_53" w:tooltip=", 2011 #48" w:history="1">
        <w:r w:rsidR="00251C87" w:rsidRPr="00251C87">
          <w:rPr>
            <w:rFonts w:cs="MinionPro-Regular"/>
            <w:noProof/>
          </w:rPr>
          <w:t>53</w:t>
        </w:r>
      </w:hyperlink>
      <w:r w:rsidR="00251C87" w:rsidRPr="00251C87">
        <w:rPr>
          <w:rFonts w:cs="MinionPro-Regular"/>
          <w:noProof/>
        </w:rPr>
        <w:t>]</w:t>
      </w:r>
      <w:r w:rsidRPr="008B43F6">
        <w:rPr>
          <w:rFonts w:cs="MinionPro-Regular"/>
          <w:lang w:val="en-US"/>
        </w:rPr>
        <w:fldChar w:fldCharType="end"/>
      </w:r>
      <w:r w:rsidRPr="008B43F6">
        <w:rPr>
          <w:rFonts w:cs="MinionPro-Regular"/>
        </w:rPr>
        <w:t>.</w:t>
      </w:r>
    </w:p>
    <w:p w:rsidR="002C0CCF" w:rsidRPr="008B43F6" w:rsidRDefault="002C0CCF" w:rsidP="00AD6847">
      <w:pPr>
        <w:autoSpaceDE w:val="0"/>
        <w:autoSpaceDN w:val="0"/>
        <w:adjustRightInd w:val="0"/>
        <w:spacing w:after="0"/>
        <w:jc w:val="both"/>
        <w:rPr>
          <w:rFonts w:cs="MinionPro-Regular"/>
        </w:rPr>
      </w:pPr>
    </w:p>
    <w:p w:rsidR="002C0CCF" w:rsidRPr="008B43F6" w:rsidRDefault="002C0CCF" w:rsidP="00AD6847">
      <w:pPr>
        <w:autoSpaceDE w:val="0"/>
        <w:autoSpaceDN w:val="0"/>
        <w:adjustRightInd w:val="0"/>
        <w:spacing w:after="0"/>
        <w:jc w:val="both"/>
        <w:rPr>
          <w:rFonts w:cs="MinionPro-Regular"/>
        </w:rPr>
      </w:pPr>
      <w:r w:rsidRPr="008B43F6">
        <w:rPr>
          <w:rFonts w:cs="MinionPro-Regular"/>
        </w:rPr>
        <w:t xml:space="preserve">Los diseños de vivienda y los sistemas de refrigeración de bajo consumo pueden tener otros efectos positivos para la salud, tales como apoyar la adaptación energética durante las olas de calor y el clima extremo, que también pueden causar apagones parciales o pérdidas de energía a nivel urbano y reducir a largo plazo los efectos del clima en la salud ocasionados por el uso de sistemas de enfriamiento que provocan altas emisiones de carbono </w:t>
      </w:r>
      <w:r w:rsidRPr="008B43F6">
        <w:rPr>
          <w:rFonts w:cs="MinionPro-Regular"/>
          <w:lang w:val="en-US"/>
        </w:rPr>
        <w:fldChar w:fldCharType="begin"/>
      </w:r>
      <w:r w:rsidR="00251C87" w:rsidRPr="00251C87">
        <w:rPr>
          <w:rFonts w:cs="MinionPro-Regular"/>
        </w:rPr>
        <w:instrText xml:space="preserve"> ADDIN EN.CITE &lt;EndNote&gt;&lt;Cite&gt;&lt;Year&gt;2011&lt;/Year&gt;&lt;RecNum&gt;48&lt;/RecNum&gt;&lt;DisplayText&gt;[53]&lt;/DisplayText&gt;&lt;record&gt;&lt;rec-number&gt;48&lt;/rec-number&gt;&lt;foreign-keys&gt;&lt;key app="EN" db-id="w0w9edzzlxxfdgesvf359ft8wzxverspwaav"&gt;48&lt;/key&gt;&lt;/foreign-keys&gt;&lt;ref-type name="Report"&gt;27&lt;/ref-type&gt;&lt;contributors&gt;&lt;/contributors&gt;&lt;titles&gt;&lt;title&gt;2011 WHO Global Health Expenditure Atlas&lt;/title&gt;&lt;/titles&gt;&lt;dates&gt;&lt;year&gt;2011&lt;/year&gt;&lt;/dates&gt;&lt;pub-location&gt;Geneva, Switzerland&lt;/pub-location&gt;&lt;publisher&gt;World Health Organization&lt;/publisher&gt;&lt;urls&gt;&lt;related-urls&gt;&lt;url&gt;http://www.who.int/nha/atlas.pdf&lt;/url&gt;&lt;/related-urls&gt;&lt;/urls&gt;&lt;/record&gt;&lt;/Cite&gt;&lt;/EndNote&gt;</w:instrText>
      </w:r>
      <w:r w:rsidRPr="008B43F6">
        <w:rPr>
          <w:rFonts w:cs="MinionPro-Regular"/>
          <w:lang w:val="en-US"/>
        </w:rPr>
        <w:fldChar w:fldCharType="separate"/>
      </w:r>
      <w:r w:rsidR="00251C87" w:rsidRPr="00251C87">
        <w:rPr>
          <w:rFonts w:cs="MinionPro-Regular"/>
          <w:noProof/>
        </w:rPr>
        <w:t>[</w:t>
      </w:r>
      <w:hyperlink w:anchor="_ENREF_53" w:tooltip=", 2011 #48" w:history="1">
        <w:r w:rsidR="00251C87" w:rsidRPr="00251C87">
          <w:rPr>
            <w:rFonts w:cs="MinionPro-Regular"/>
            <w:noProof/>
          </w:rPr>
          <w:t>53</w:t>
        </w:r>
      </w:hyperlink>
      <w:r w:rsidR="00251C87" w:rsidRPr="00251C87">
        <w:rPr>
          <w:rFonts w:cs="MinionPro-Regular"/>
          <w:noProof/>
        </w:rPr>
        <w:t>]</w:t>
      </w:r>
      <w:r w:rsidRPr="008B43F6">
        <w:rPr>
          <w:rFonts w:cs="MinionPro-Regular"/>
          <w:lang w:val="en-US"/>
        </w:rPr>
        <w:fldChar w:fldCharType="end"/>
      </w:r>
      <w:r w:rsidRPr="008B43F6">
        <w:rPr>
          <w:rFonts w:cs="MinionPro-Regular"/>
        </w:rPr>
        <w:t>.</w:t>
      </w:r>
    </w:p>
    <w:p w:rsidR="002C0CCF" w:rsidRPr="008B43F6" w:rsidRDefault="002C0CCF" w:rsidP="00AD6847">
      <w:pPr>
        <w:autoSpaceDE w:val="0"/>
        <w:autoSpaceDN w:val="0"/>
        <w:adjustRightInd w:val="0"/>
        <w:spacing w:after="0"/>
        <w:jc w:val="both"/>
        <w:rPr>
          <w:rFonts w:cs="MinionPro-Regular"/>
        </w:rPr>
      </w:pPr>
    </w:p>
    <w:p w:rsidR="002C0CCF" w:rsidRPr="008B43F6" w:rsidRDefault="002C0CCF" w:rsidP="00AD6847">
      <w:pPr>
        <w:autoSpaceDE w:val="0"/>
        <w:autoSpaceDN w:val="0"/>
        <w:adjustRightInd w:val="0"/>
        <w:spacing w:after="0"/>
        <w:jc w:val="both"/>
        <w:rPr>
          <w:rFonts w:cs="MinionPro-Regular"/>
          <w:color w:val="FF0000"/>
        </w:rPr>
      </w:pPr>
      <w:r w:rsidRPr="008B43F6">
        <w:rPr>
          <w:rFonts w:cs="MinionPro-Regular"/>
        </w:rPr>
        <w:t>En términos de acceso al agua caliente, el uso de la misma para lavar platos a temperaturas suficientemente altas (&lt;40 º C) ha sido citado en algunos estudios como un factor de reducción en la transmisión de bacterias comunes (E. coli, salmonela y Campylobacter) a través de platos y utensilios.</w:t>
      </w:r>
      <w:r w:rsidRPr="008B43F6">
        <w:rPr>
          <w:lang w:val="es-ES"/>
        </w:rPr>
        <w:t xml:space="preserve"> </w:t>
      </w:r>
    </w:p>
    <w:p w:rsidR="002C0CCF" w:rsidRPr="008B43F6" w:rsidRDefault="002C0CCF" w:rsidP="00AD6847">
      <w:pPr>
        <w:autoSpaceDE w:val="0"/>
        <w:autoSpaceDN w:val="0"/>
        <w:adjustRightInd w:val="0"/>
        <w:spacing w:after="0"/>
        <w:jc w:val="both"/>
        <w:rPr>
          <w:rFonts w:cs="MinionPro-Regular"/>
          <w:color w:val="FF0000"/>
        </w:rPr>
      </w:pPr>
    </w:p>
    <w:p w:rsidR="002C0CCF" w:rsidRPr="008B43F6" w:rsidRDefault="002C0CCF" w:rsidP="00AD6847">
      <w:pPr>
        <w:autoSpaceDE w:val="0"/>
        <w:autoSpaceDN w:val="0"/>
        <w:adjustRightInd w:val="0"/>
        <w:spacing w:after="0"/>
        <w:jc w:val="both"/>
        <w:rPr>
          <w:rFonts w:cs="TimesNewRoman"/>
        </w:rPr>
      </w:pPr>
      <w:r w:rsidRPr="008B43F6">
        <w:rPr>
          <w:rFonts w:cs="TimesNewRoman"/>
        </w:rPr>
        <w:t xml:space="preserve">Parece ser que el mayor desafío en el campo de la vivienda y la salud es la recolección de evidencia clara y directa. Como la vivienda y la salud siempre se ven afectadas por una variedad de </w:t>
      </w:r>
      <w:r w:rsidRPr="008B43F6">
        <w:rPr>
          <w:rFonts w:cs="TimesNewRoman"/>
        </w:rPr>
        <w:lastRenderedPageBreak/>
        <w:t xml:space="preserve">factores, no es fácil desentrañar y evaluar el impacto de las condiciones de vivienda en la salud. Frente a muchos otros factores que pueden contribuir a provocar dicho impacto, es difícil establecer el papel de uno en específico, como el del hacinamiento, incluso cuando la enfermedad o lesión asociada al mismo esté bien definida. En muchas situaciones (por ejemplo, la investigación del ruido como factor causal de enfermedad), ni la enfermedad probable ni la exposición posible están completamente definidas, y es probable que cualquier efecto sea ejercido en combinación con otros factores. En este caso, es importante reconocer que independientemente de la fuerza del efecto, es poco probable que se pueda producir una evidencia directa </w:t>
      </w:r>
      <w:r w:rsidRPr="008B43F6">
        <w:rPr>
          <w:rFonts w:cs="TimesNewRoman"/>
          <w:lang w:val="en-US"/>
        </w:rPr>
        <w:fldChar w:fldCharType="begin"/>
      </w:r>
      <w:r w:rsidR="00251C87" w:rsidRPr="00251C87">
        <w:rPr>
          <w:rFonts w:cs="TimesNewRoman"/>
        </w:rPr>
        <w:instrText xml:space="preserve"> ADDIN EN.CITE &lt;EndNote&gt;&lt;Cite&gt;&lt;Author&gt;Bonnefoy&lt;/Author&gt;&lt;Year&gt;2007&lt;/Year&gt;&lt;RecNum&gt;46&lt;/RecNum&gt;&lt;DisplayText&gt;[51]&lt;/DisplayText&gt;&lt;record&gt;&lt;rec-number&gt;46&lt;/rec-number&gt;&lt;foreign-keys&gt;&lt;key app="EN" db-id="w0w9edzzlxxfdgesvf359ft8wzxverspwaav"&gt;46&lt;/key&gt;&lt;/foreign-keys&gt;&lt;ref-type name="Journal Article"&gt;17&lt;/ref-type&gt;&lt;contributors&gt;&lt;authors&gt;&lt;author&gt;Xavier Bonnefoy&lt;/author&gt;&lt;/authors&gt;&lt;/contributors&gt;&lt;titles&gt;&lt;title&gt;Inadequate housing and health: an overview&lt;/title&gt;&lt;secondary-title&gt;International Journal of Environment and Pollution&lt;/secondary-title&gt;&lt;/titles&gt;&lt;periodical&gt;&lt;full-title&gt;International Journal of Environment and Pollution&lt;/full-title&gt;&lt;/periodical&gt;&lt;pages&gt;411-429&lt;/pages&gt;&lt;volume&gt;30&lt;/volume&gt;&lt;number&gt;3/4&lt;/number&gt;&lt;dates&gt;&lt;year&gt;2007&lt;/year&gt;&lt;/dates&gt;&lt;urls&gt;&lt;related-urls&gt;&lt;url&gt;http://www.euro.who.int/__data/assets/pdf_file/0017/121832/E90676.pdf&lt;/url&gt;&lt;/related-urls&gt;&lt;/urls&gt;&lt;/record&gt;&lt;/Cite&gt;&lt;/EndNote&gt;</w:instrText>
      </w:r>
      <w:r w:rsidRPr="008B43F6">
        <w:rPr>
          <w:rFonts w:cs="TimesNewRoman"/>
          <w:lang w:val="en-US"/>
        </w:rPr>
        <w:fldChar w:fldCharType="separate"/>
      </w:r>
      <w:r w:rsidR="00251C87" w:rsidRPr="00251C87">
        <w:rPr>
          <w:rFonts w:cs="TimesNewRoman"/>
          <w:noProof/>
        </w:rPr>
        <w:t>[</w:t>
      </w:r>
      <w:hyperlink w:anchor="_ENREF_51" w:tooltip="Bonnefoy, 2007 #46" w:history="1">
        <w:r w:rsidR="00251C87" w:rsidRPr="00251C87">
          <w:rPr>
            <w:rFonts w:cs="TimesNewRoman"/>
            <w:noProof/>
          </w:rPr>
          <w:t>51</w:t>
        </w:r>
      </w:hyperlink>
      <w:r w:rsidR="00251C87" w:rsidRPr="00251C87">
        <w:rPr>
          <w:rFonts w:cs="TimesNewRoman"/>
          <w:noProof/>
        </w:rPr>
        <w:t>]</w:t>
      </w:r>
      <w:r w:rsidRPr="008B43F6">
        <w:rPr>
          <w:rFonts w:cs="TimesNewRoman"/>
          <w:lang w:val="en-US"/>
        </w:rPr>
        <w:fldChar w:fldCharType="end"/>
      </w:r>
      <w:r w:rsidRPr="008B43F6">
        <w:rPr>
          <w:rFonts w:cs="TimesNewRoman"/>
        </w:rPr>
        <w:t>.</w:t>
      </w:r>
    </w:p>
    <w:p w:rsidR="002C0CCF" w:rsidRPr="008B43F6" w:rsidRDefault="002C0CCF" w:rsidP="00AD6847">
      <w:pPr>
        <w:jc w:val="both"/>
        <w:rPr>
          <w:rFonts w:eastAsiaTheme="majorEastAsia" w:cstheme="majorBidi"/>
          <w:b/>
          <w:bCs/>
          <w:color w:val="365F91" w:themeColor="accent1" w:themeShade="BF"/>
          <w:sz w:val="28"/>
          <w:szCs w:val="28"/>
        </w:rPr>
      </w:pPr>
    </w:p>
    <w:p w:rsidR="002C0CCF" w:rsidRPr="008B43F6" w:rsidRDefault="00E51B35" w:rsidP="00AD6847">
      <w:pPr>
        <w:pStyle w:val="Ttulo1"/>
        <w:jc w:val="both"/>
        <w:rPr>
          <w:rFonts w:asciiTheme="minorHAnsi" w:hAnsiTheme="minorHAnsi"/>
        </w:rPr>
      </w:pPr>
      <w:bookmarkStart w:id="119" w:name="_Toc350212895"/>
      <w:bookmarkStart w:id="120" w:name="_Toc350874996"/>
      <w:bookmarkStart w:id="121" w:name="_Toc351397609"/>
      <w:r w:rsidRPr="008B43F6">
        <w:rPr>
          <w:rFonts w:asciiTheme="minorHAnsi" w:hAnsiTheme="minorHAnsi"/>
        </w:rPr>
        <w:t xml:space="preserve">Anexo </w:t>
      </w:r>
      <w:r w:rsidR="002C0CCF" w:rsidRPr="008B43F6">
        <w:rPr>
          <w:rFonts w:asciiTheme="minorHAnsi" w:hAnsiTheme="minorHAnsi"/>
        </w:rPr>
        <w:t>V</w:t>
      </w:r>
      <w:r w:rsidRPr="008B43F6">
        <w:rPr>
          <w:rFonts w:asciiTheme="minorHAnsi" w:hAnsiTheme="minorHAnsi"/>
        </w:rPr>
        <w:t>.</w:t>
      </w:r>
      <w:r w:rsidR="002C0CCF" w:rsidRPr="008B43F6">
        <w:rPr>
          <w:rFonts w:asciiTheme="minorHAnsi" w:hAnsiTheme="minorHAnsi"/>
        </w:rPr>
        <w:t xml:space="preserve"> Creación de empleo a través de la eficiencia energética en la vivienda</w:t>
      </w:r>
      <w:bookmarkEnd w:id="119"/>
      <w:bookmarkEnd w:id="120"/>
      <w:bookmarkEnd w:id="121"/>
    </w:p>
    <w:p w:rsidR="002C0CCF" w:rsidRPr="008B43F6" w:rsidRDefault="002C0CCF" w:rsidP="00AD6847">
      <w:pPr>
        <w:jc w:val="both"/>
      </w:pPr>
    </w:p>
    <w:p w:rsidR="002C0CCF" w:rsidRPr="008B43F6" w:rsidRDefault="002C0CCF" w:rsidP="00AD6847">
      <w:pPr>
        <w:jc w:val="both"/>
        <w:rPr>
          <w:rFonts w:eastAsiaTheme="majorEastAsia" w:cstheme="majorBidi"/>
          <w:b/>
          <w:bCs/>
          <w:color w:val="365F91" w:themeColor="accent1" w:themeShade="BF"/>
          <w:sz w:val="28"/>
          <w:szCs w:val="28"/>
        </w:rPr>
      </w:pPr>
      <w:r w:rsidRPr="008B43F6">
        <w:rPr>
          <w:iCs/>
          <w:color w:val="000000"/>
        </w:rPr>
        <w:t xml:space="preserve">Los estudios coinciden en que debido a que mediante las inversiones en eficiencia energética se crean nuevas oportunidades de negocio, éstas tendrán efectos positivos directos sobre el empleo (y como consecuencia, en una reducción en las ayudas por desempleo). También tendrán efectos indirectos, a través de los efectos económicos multiplicadores que se obtendrán al gastar de otras maneras el dinero que se ahorre en los costos de la energía. El suministro de servicios de ahorro de energía ha demostrado ser una oportunidad lucrativa de negocios </w:t>
      </w:r>
      <w:r w:rsidRPr="008B43F6">
        <w:rPr>
          <w:bCs/>
        </w:rPr>
        <w:fldChar w:fldCharType="begin">
          <w:fldData xml:space="preserve">PEVuZE5vdGU+PENpdGU+PEF1dGhvcj7DnHJnZS1Wb3JzYXR6PC9BdXRob3I+PFllYXI+MjAwOTwv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</w:fldData>
        </w:fldChar>
      </w:r>
      <w:r w:rsidR="00251C87">
        <w:rPr>
          <w:bCs/>
        </w:rPr>
        <w:instrText xml:space="preserve"> ADDIN EN.CITE </w:instrText>
      </w:r>
      <w:r w:rsidR="00251C87">
        <w:rPr>
          <w:bCs/>
        </w:rPr>
        <w:fldChar w:fldCharType="begin">
          <w:fldData xml:space="preserve">PEVuZE5vdGU+PENpdGU+PEF1dGhvcj7DnHJnZS1Wb3JzYXR6PC9BdXRob3I+PFllYXI+MjAwOTwv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</w:fldData>
        </w:fldChar>
      </w:r>
      <w:r w:rsidR="00251C87">
        <w:rPr>
          <w:bCs/>
        </w:rPr>
        <w:instrText xml:space="preserve"> ADDIN EN.CITE.DATA </w:instrText>
      </w:r>
      <w:r w:rsidR="00251C87">
        <w:rPr>
          <w:bCs/>
        </w:rPr>
      </w:r>
      <w:r w:rsidR="00251C87">
        <w:rPr>
          <w:bCs/>
        </w:rPr>
        <w:fldChar w:fldCharType="end"/>
      </w:r>
      <w:r w:rsidRPr="008B43F6">
        <w:rPr>
          <w:bCs/>
        </w:rPr>
      </w:r>
      <w:r w:rsidRPr="008B43F6">
        <w:rPr>
          <w:bCs/>
        </w:rPr>
        <w:fldChar w:fldCharType="separate"/>
      </w:r>
      <w:r w:rsidR="00251C87">
        <w:rPr>
          <w:bCs/>
          <w:noProof/>
        </w:rPr>
        <w:t>[</w:t>
      </w:r>
      <w:hyperlink w:anchor="_ENREF_3" w:tooltip="Ürge-Vorsatz, 2009 #23" w:history="1">
        <w:r w:rsidR="00251C87">
          <w:rPr>
            <w:bCs/>
            <w:noProof/>
          </w:rPr>
          <w:t>3</w:t>
        </w:r>
      </w:hyperlink>
      <w:r w:rsidR="00251C87">
        <w:rPr>
          <w:bCs/>
          <w:noProof/>
        </w:rPr>
        <w:t xml:space="preserve">, </w:t>
      </w:r>
      <w:hyperlink w:anchor="_ENREF_39" w:tooltip="Schweitzer, 2002 #12" w:history="1">
        <w:r w:rsidR="00251C87">
          <w:rPr>
            <w:bCs/>
            <w:noProof/>
          </w:rPr>
          <w:t>39</w:t>
        </w:r>
      </w:hyperlink>
      <w:r w:rsidR="00251C87">
        <w:rPr>
          <w:bCs/>
          <w:noProof/>
        </w:rPr>
        <w:t xml:space="preserve">, </w:t>
      </w:r>
      <w:hyperlink w:anchor="_ENREF_41" w:tooltip="Managan, 2011 #17" w:history="1">
        <w:r w:rsidR="00251C87">
          <w:rPr>
            <w:bCs/>
            <w:noProof/>
          </w:rPr>
          <w:t>41</w:t>
        </w:r>
      </w:hyperlink>
      <w:r w:rsidR="00251C87">
        <w:rPr>
          <w:bCs/>
          <w:noProof/>
        </w:rPr>
        <w:t>]</w:t>
      </w:r>
      <w:r w:rsidRPr="008B43F6">
        <w:rPr>
          <w:bCs/>
        </w:rPr>
        <w:fldChar w:fldCharType="end"/>
      </w:r>
      <w:r w:rsidRPr="008B43F6">
        <w:rPr>
          <w:bCs/>
        </w:rPr>
        <w:t xml:space="preserve">. Las construcciones verdes también ayudan a impulsar la manufactura local de materiales para la construcción. La inversión en empresas locales que se dedican a la instalación de aislamiento térmico, de ventanas eficientes, o de equipo solar, puede mantener el dinero en la comunidad en lugar de que éste sea enviado a otro lugar (o a otro país) para la compra de combustibles fósiles </w:t>
      </w:r>
      <w:r w:rsidRPr="008B43F6">
        <w:rPr>
          <w:bCs/>
        </w:rPr>
        <w:fldChar w:fldCharType="begin"/>
      </w:r>
      <w:r w:rsidR="00251C87">
        <w:rPr>
          <w:bCs/>
        </w:rPr>
        <w:instrText xml:space="preserve"> ADDIN EN.CITE &lt;EndNote&gt;&lt;Cite&gt;&lt;Author&gt;Wilson&lt;/Author&gt;&lt;Year&gt;2005&lt;/Year&gt;&lt;RecNum&gt;29&lt;/RecNum&gt;&lt;DisplayText&gt;[37]&lt;/DisplayText&gt;&lt;record&gt;&lt;rec-number&gt;29&lt;/rec-number&gt;&lt;foreign-keys&gt;&lt;key app="EN" db-id="w0w9edzzlxxfdgesvf359ft8wzxverspwaav"&gt;29&lt;/key&gt;&lt;/foreign-keys&gt;&lt;ref-type name="Newspaper Article"&gt;23&lt;/ref-type&gt;&lt;contributors&gt;&lt;authors&gt;&lt;author&gt;Alex Wilson &lt;/author&gt;&lt;/authors&gt;&lt;/contributors&gt;&lt;titles&gt;&lt;title&gt;Making the Case for Green Building &lt;/title&gt;&lt;secondary-title&gt;Environmental Building News&lt;/secondary-title&gt;&lt;/titles&gt;&lt;dates&gt;&lt;year&gt;2005&lt;/year&gt;&lt;pub-dates&gt;&lt;date&gt;April 1, 2005&lt;/date&gt;&lt;/pub-dates&gt;&lt;/dates&gt;&lt;work-type&gt;Feature&lt;/work-type&gt;&lt;urls&gt;&lt;/urls&gt;&lt;/record&gt;&lt;/Cite&gt;&lt;/EndNote&gt;</w:instrText>
      </w:r>
      <w:r w:rsidRPr="008B43F6">
        <w:rPr>
          <w:bCs/>
        </w:rPr>
        <w:fldChar w:fldCharType="separate"/>
      </w:r>
      <w:r w:rsidR="00251C87">
        <w:rPr>
          <w:bCs/>
          <w:noProof/>
        </w:rPr>
        <w:t>[</w:t>
      </w:r>
      <w:hyperlink w:anchor="_ENREF_37" w:tooltip="Wilson, 2005 #29" w:history="1">
        <w:r w:rsidR="00251C87">
          <w:rPr>
            <w:bCs/>
            <w:noProof/>
          </w:rPr>
          <w:t>37</w:t>
        </w:r>
      </w:hyperlink>
      <w:r w:rsidR="00251C87">
        <w:rPr>
          <w:bCs/>
          <w:noProof/>
        </w:rPr>
        <w:t>]</w:t>
      </w:r>
      <w:r w:rsidRPr="008B43F6">
        <w:rPr>
          <w:bCs/>
        </w:rPr>
        <w:fldChar w:fldCharType="end"/>
      </w:r>
      <w:r w:rsidRPr="008B43F6">
        <w:rPr>
          <w:bCs/>
        </w:rPr>
        <w:t>.</w:t>
      </w:r>
    </w:p>
    <w:p w:rsidR="002C0CCF" w:rsidRPr="008B43F6" w:rsidRDefault="002C0CCF" w:rsidP="00AD6847">
      <w:pPr>
        <w:jc w:val="both"/>
        <w:rPr>
          <w:iCs/>
          <w:color w:val="000000"/>
        </w:rPr>
      </w:pPr>
      <w:r w:rsidRPr="008B43F6">
        <w:rPr>
          <w:iCs/>
          <w:color w:val="000000"/>
        </w:rPr>
        <w:t xml:space="preserve">Las medidas para la mitigación del cambio climático, pueden afectar de muchas maneras a la economía, y por lo tanto, a la creación de empleo, ya que por lo general dan como resultado una ganancia neta en puestos de trabajo. Los efectos sobre el empleo se esquematizan en la </w:t>
      </w:r>
      <w:r w:rsidR="00E75797" w:rsidRPr="008B43F6">
        <w:rPr>
          <w:iCs/>
          <w:color w:val="000000"/>
        </w:rPr>
        <w:t>F</w:t>
      </w:r>
      <w:r w:rsidRPr="008B43F6">
        <w:rPr>
          <w:iCs/>
          <w:color w:val="000000"/>
        </w:rPr>
        <w:t xml:space="preserve">igura 1. Sin embargo, en algunos sectores como el de los combustibles fósiles, dicho resultado se traduce en una disminución en los puestos de trabajo. </w:t>
      </w:r>
    </w:p>
    <w:p w:rsidR="002C0CCF" w:rsidRPr="008B43F6" w:rsidRDefault="002C0CCF" w:rsidP="00AD6847">
      <w:pPr>
        <w:jc w:val="both"/>
        <w:rPr>
          <w:iCs/>
          <w:color w:val="000000"/>
        </w:rPr>
      </w:pPr>
      <w:r w:rsidRPr="008B43F6">
        <w:rPr>
          <w:iCs/>
          <w:color w:val="000000"/>
        </w:rPr>
        <w:t xml:space="preserve">La generación de empleo puede ser a manera de: </w:t>
      </w:r>
    </w:p>
    <w:p w:rsidR="002C0CCF" w:rsidRPr="008B43F6" w:rsidRDefault="002C0CCF" w:rsidP="00AD6847">
      <w:pPr>
        <w:pStyle w:val="Prrafodelista"/>
        <w:numPr>
          <w:ilvl w:val="0"/>
          <w:numId w:val="24"/>
        </w:numPr>
        <w:jc w:val="both"/>
        <w:rPr>
          <w:bCs/>
          <w:color w:val="000000" w:themeColor="text1"/>
        </w:rPr>
      </w:pPr>
      <w:r w:rsidRPr="008B43F6">
        <w:rPr>
          <w:b/>
          <w:bCs/>
          <w:color w:val="000000" w:themeColor="text1"/>
        </w:rPr>
        <w:t>Puestos de trabajo directos</w:t>
      </w:r>
      <w:r w:rsidRPr="008B43F6">
        <w:rPr>
          <w:bCs/>
          <w:color w:val="000000" w:themeColor="text1"/>
        </w:rPr>
        <w:t>, que por lo general comprenden: la manufactura, la construcción e instalación, la operación y el mantenimiento.</w:t>
      </w:r>
    </w:p>
    <w:p w:rsidR="002C0CCF" w:rsidRPr="008B43F6" w:rsidRDefault="002C0CCF" w:rsidP="00AD6847">
      <w:pPr>
        <w:pStyle w:val="Prrafodelista"/>
        <w:numPr>
          <w:ilvl w:val="0"/>
          <w:numId w:val="24"/>
        </w:numPr>
        <w:jc w:val="both"/>
      </w:pPr>
      <w:r w:rsidRPr="008B43F6">
        <w:rPr>
          <w:b/>
          <w:bCs/>
          <w:color w:val="000000" w:themeColor="text1"/>
        </w:rPr>
        <w:t>Puestos de trabajo indirectos</w:t>
      </w:r>
      <w:r w:rsidRPr="008B43F6">
        <w:rPr>
          <w:bCs/>
          <w:color w:val="000000" w:themeColor="text1"/>
        </w:rPr>
        <w:t>, que son generados en la economía por los efectos multiplicadores en, por ejemplo, las cadenas de suministro que producen bienes intermedios y componentes, así como por el sector de servicios.</w:t>
      </w:r>
    </w:p>
    <w:p w:rsidR="002C0CCF" w:rsidRPr="008B43F6" w:rsidRDefault="002C0CCF" w:rsidP="00AD6847">
      <w:pPr>
        <w:pStyle w:val="Prrafodelista"/>
        <w:numPr>
          <w:ilvl w:val="0"/>
          <w:numId w:val="24"/>
        </w:numPr>
        <w:jc w:val="both"/>
      </w:pPr>
      <w:r w:rsidRPr="008B43F6">
        <w:rPr>
          <w:b/>
          <w:color w:val="000000" w:themeColor="text1"/>
        </w:rPr>
        <w:t>Puestos de trabajo inducidos</w:t>
      </w:r>
      <w:r w:rsidRPr="008B43F6">
        <w:rPr>
          <w:color w:val="000000" w:themeColor="text1"/>
        </w:rPr>
        <w:t xml:space="preserve">, que son creados como resultado de un desarrollo económico bajo en carbono. Pueden resultar por ejemplo, de los ahorros por eficiencia energética que estén siendo invertidos en nuevos negocios </w:t>
      </w:r>
      <w:r w:rsidRPr="008B43F6">
        <w:rPr>
          <w:color w:val="000000" w:themeColor="text1"/>
        </w:rPr>
        <w:fldChar w:fldCharType="begin"/>
      </w:r>
      <w:r w:rsidR="00251C87">
        <w:rPr>
          <w:color w:val="000000" w:themeColor="text1"/>
        </w:rPr>
        <w:instrText xml:space="preserve"> ADDIN EN.CITE &lt;EndNote&gt;&lt;Cite&gt;&lt;Author&gt;Bystricky&lt;/Author&gt;&lt;Year&gt;2010&lt;/Year&gt;&lt;RecNum&gt;28&lt;/RecNum&gt;&lt;DisplayText&gt;[43]&lt;/DisplayText&gt;&lt;record&gt;&lt;rec-number&gt;28&lt;/rec-number&gt;&lt;foreign-keys&gt;&lt;key app="EN" db-id="w0w9edzzlxxfdgesvf359ft8wzxverspwaav"&gt;28&lt;/key&gt;&lt;/foreign-keys&gt;&lt;ref-type name="Report"&gt;27&lt;/ref-type&gt;&lt;contributors&gt;&lt;authors&gt;&lt;author&gt;Eliska Bystricky&lt;/author&gt;&lt;author&gt; Alyssa Gilbert&lt;/author&gt;&lt;author&gt;Sebastian Klaus&lt;/author&gt;&lt;author&gt;Jan Rordorf&lt;/author&gt;&lt;/authors&gt;&lt;/contributors&gt;&lt;titles&gt;&lt;title&gt;Co-benefits of private investment in climate change mitigation and adaptation in developing countries&lt;/title&gt;&lt;/titles&gt;&lt;dates&gt;&lt;year&gt;2010&lt;/year&gt;&lt;/dates&gt;&lt;publisher&gt;Ecofys&lt;/publisher&gt;&lt;urls&gt;&lt;/urls&gt;&lt;/record&gt;&lt;/Cite&gt;&lt;/EndNote&gt;</w:instrText>
      </w:r>
      <w:r w:rsidRPr="008B43F6">
        <w:rPr>
          <w:color w:val="000000" w:themeColor="text1"/>
        </w:rPr>
        <w:fldChar w:fldCharType="separate"/>
      </w:r>
      <w:r w:rsidR="00251C87">
        <w:rPr>
          <w:noProof/>
          <w:color w:val="000000" w:themeColor="text1"/>
        </w:rPr>
        <w:t>[</w:t>
      </w:r>
      <w:hyperlink w:anchor="_ENREF_43" w:tooltip="Bystricky, 2010 #28" w:history="1">
        <w:r w:rsidR="00251C87">
          <w:rPr>
            <w:noProof/>
            <w:color w:val="000000" w:themeColor="text1"/>
          </w:rPr>
          <w:t>43</w:t>
        </w:r>
      </w:hyperlink>
      <w:r w:rsidR="00251C87">
        <w:rPr>
          <w:noProof/>
          <w:color w:val="000000" w:themeColor="text1"/>
        </w:rPr>
        <w:t>]</w:t>
      </w:r>
      <w:r w:rsidRPr="008B43F6">
        <w:rPr>
          <w:color w:val="000000" w:themeColor="text1"/>
        </w:rPr>
        <w:fldChar w:fldCharType="end"/>
      </w:r>
      <w:r w:rsidRPr="008B43F6">
        <w:rPr>
          <w:color w:val="000000" w:themeColor="text1"/>
        </w:rPr>
        <w:t>.</w:t>
      </w:r>
    </w:p>
    <w:p w:rsidR="002C0CCF" w:rsidRPr="008B43F6" w:rsidRDefault="002C0CCF" w:rsidP="00AD6847">
      <w:pPr>
        <w:jc w:val="both"/>
        <w:rPr>
          <w:b/>
          <w:color w:val="000000" w:themeColor="text1"/>
        </w:rPr>
      </w:pPr>
    </w:p>
    <w:p w:rsidR="002C0CCF" w:rsidRPr="008B43F6" w:rsidRDefault="002C0CCF" w:rsidP="00AD6847">
      <w:pPr>
        <w:pStyle w:val="Prrafodelista"/>
        <w:jc w:val="both"/>
        <w:rPr>
          <w:b/>
          <w:color w:val="000000" w:themeColor="text1"/>
          <w:sz w:val="18"/>
          <w:szCs w:val="18"/>
        </w:rPr>
      </w:pPr>
      <w:r w:rsidRPr="008B43F6">
        <w:rPr>
          <w:b/>
          <w:color w:val="000000" w:themeColor="text1"/>
          <w:sz w:val="18"/>
          <w:szCs w:val="18"/>
        </w:rPr>
        <w:t>Figura 1. Efectos de las medidas de eficiencia energética sobre el empleo</w:t>
      </w:r>
    </w:p>
    <w:p w:rsidR="002C0CCF" w:rsidRPr="008B43F6" w:rsidRDefault="002C0CCF" w:rsidP="00AD6847">
      <w:pPr>
        <w:pStyle w:val="Prrafodelista"/>
        <w:jc w:val="both"/>
        <w:rPr>
          <w:sz w:val="18"/>
          <w:szCs w:val="18"/>
        </w:rPr>
      </w:pPr>
      <w:r w:rsidRPr="008B43F6">
        <w:rPr>
          <w:noProof/>
          <w:sz w:val="18"/>
          <w:szCs w:val="18"/>
          <w:lang w:eastAsia="es-MX"/>
        </w:rPr>
        <w:drawing>
          <wp:inline distT="0" distB="0" distL="0" distR="0" wp14:anchorId="68317E1F" wp14:editId="4DC053F0">
            <wp:extent cx="3160758" cy="2366178"/>
            <wp:effectExtent l="0" t="0" r="190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67694" cy="2371370"/>
                    </a:xfrm>
                    <a:prstGeom prst="rect">
                      <a:avLst/>
                    </a:prstGeom>
                    <a:noFill/>
                    <a:ln>
                      <a:noFill/>
                    </a:ln>
                  </pic:spPr>
                </pic:pic>
              </a:graphicData>
            </a:graphic>
          </wp:inline>
        </w:drawing>
      </w:r>
    </w:p>
    <w:p w:rsidR="002C0CCF" w:rsidRPr="008B43F6" w:rsidRDefault="002C0CCF" w:rsidP="00AD6847">
      <w:pPr>
        <w:pStyle w:val="Prrafodelista"/>
        <w:jc w:val="both"/>
        <w:rPr>
          <w:sz w:val="18"/>
          <w:szCs w:val="18"/>
        </w:rPr>
      </w:pPr>
      <w:r w:rsidRPr="008B43F6">
        <w:rPr>
          <w:sz w:val="18"/>
          <w:szCs w:val="18"/>
        </w:rPr>
        <w:t xml:space="preserve">Fuente: </w:t>
      </w:r>
      <w:r w:rsidRPr="008B43F6">
        <w:rPr>
          <w:sz w:val="18"/>
          <w:szCs w:val="18"/>
        </w:rPr>
        <w:fldChar w:fldCharType="begin"/>
      </w:r>
      <w:r w:rsidR="00251C87">
        <w:rPr>
          <w:sz w:val="18"/>
          <w:szCs w:val="18"/>
        </w:rPr>
        <w:instrText xml:space="preserve"> ADDIN EN.CITE &lt;EndNote&gt;&lt;Cite&gt;&lt;Author&gt;Keivani&lt;/Author&gt;&lt;Year&gt;2010&lt;/Year&gt;&lt;RecNum&gt;19&lt;/RecNum&gt;&lt;DisplayText&gt;[54]&lt;/DisplayText&gt;&lt;record&gt;&lt;rec-number&gt;19&lt;/rec-number&gt;&lt;foreign-keys&gt;&lt;key app="EN" db-id="w0w9edzzlxxfdgesvf359ft8wzxverspwaav"&gt;19&lt;/key&gt;&lt;/foreign-keys&gt;&lt;ref-type name="Report"&gt;27&lt;/ref-type&gt;&lt;contributors&gt;&lt;authors&gt;&lt;author&gt;Ramin Keivani&lt;/author&gt;&lt;author&gt;Joseph H.M. Tah&lt;/author&gt;&lt;author&gt;Esra Kurul&lt;/author&gt;&lt;author&gt;Henry Abanda&lt;/author&gt;&lt;/authors&gt;&lt;/contributors&gt;&lt;titles&gt;&lt;title&gt;Green Jobs Creation Through Sustainable Refurbishment in the Developing Countries&lt;/title&gt;&lt;/titles&gt;&lt;dates&gt;&lt;year&gt;2010&lt;/year&gt;&lt;/dates&gt;&lt;pub-location&gt;Geneva, Switzerland&lt;/pub-location&gt;&lt;publisher&gt;International Labour Organization&lt;/publisher&gt;&lt;urls&gt;&lt;/urls&gt;&lt;/record&gt;&lt;/Cite&gt;&lt;/EndNote&gt;</w:instrText>
      </w:r>
      <w:r w:rsidRPr="008B43F6">
        <w:rPr>
          <w:sz w:val="18"/>
          <w:szCs w:val="18"/>
        </w:rPr>
        <w:fldChar w:fldCharType="separate"/>
      </w:r>
      <w:r w:rsidR="00251C87">
        <w:rPr>
          <w:noProof/>
          <w:sz w:val="18"/>
          <w:szCs w:val="18"/>
        </w:rPr>
        <w:t>[</w:t>
      </w:r>
      <w:hyperlink w:anchor="_ENREF_54" w:tooltip="Keivani, 2010 #19" w:history="1">
        <w:r w:rsidR="00251C87">
          <w:rPr>
            <w:noProof/>
            <w:sz w:val="18"/>
            <w:szCs w:val="18"/>
          </w:rPr>
          <w:t>54</w:t>
        </w:r>
      </w:hyperlink>
      <w:r w:rsidR="00251C87">
        <w:rPr>
          <w:noProof/>
          <w:sz w:val="18"/>
          <w:szCs w:val="18"/>
        </w:rPr>
        <w:t>]</w:t>
      </w:r>
      <w:r w:rsidRPr="008B43F6">
        <w:rPr>
          <w:sz w:val="18"/>
          <w:szCs w:val="18"/>
        </w:rPr>
        <w:fldChar w:fldCharType="end"/>
      </w:r>
    </w:p>
    <w:p w:rsidR="002C0CCF" w:rsidRPr="008B43F6" w:rsidRDefault="002C0CCF" w:rsidP="00AD6847">
      <w:pPr>
        <w:jc w:val="both"/>
      </w:pPr>
      <w:r w:rsidRPr="008B43F6">
        <w:t xml:space="preserve">Existen algunas variaciones entre los distintos estudios sobre el porcentaje de empleos que son creados directamente a partir de las medidas de eficiencia energética y el número de puestos de trabajo que están indirectamente relacionados con la energía. Sin embargo, los estudios indican que la mayoría de los empleos son creados indirectamente a través de ahorros que son reinvertidos en otros sectores </w:t>
      </w:r>
      <w:r w:rsidRPr="008B43F6">
        <w:rPr>
          <w:iCs/>
        </w:rPr>
        <w:fldChar w:fldCharType="begin"/>
      </w:r>
      <w:r w:rsidR="00251C87">
        <w:rPr>
          <w:iCs/>
        </w:rPr>
        <w:instrText xml:space="preserve"> ADDIN EN.CITE &lt;EndNote&gt;&lt;Cite&gt;&lt;Author&gt;Renner&lt;/Author&gt;&lt;Year&gt;2008&lt;/Year&gt;&lt;RecNum&gt;30&lt;/RecNum&gt;&lt;DisplayText&gt;[40]&lt;/DisplayText&gt;&lt;record&gt;&lt;rec-number&gt;30&lt;/rec-number&gt;&lt;foreign-keys&gt;&lt;key app="EN" db-id="w0w9edzzlxxfdgesvf359ft8wzxverspwaav"&gt;30&lt;/key&gt;&lt;/foreign-keys&gt;&lt;ref-type name="Report"&gt;27&lt;/ref-type&gt;&lt;contributors&gt;&lt;authors&gt;&lt;author&gt;Michael Renner&lt;/author&gt;&lt;author&gt;Sean Sweeney&lt;/author&gt;&lt;author&gt;Jill Kubit&lt;/author&gt;&lt;/authors&gt;&lt;subsidiary-authors&gt;&lt;author&gt;UNEP/ILO/IOE/ITUC&lt;/author&gt;&lt;/subsidiary-authors&gt;&lt;/contributors&gt;&lt;titles&gt;&lt;title&gt;Green Jobs: Towards decent work in a sustainable, low-carbon world&lt;/title&gt;&lt;/titles&gt;&lt;dates&gt;&lt;year&gt;2008&lt;/year&gt;&lt;/dates&gt;&lt;publisher&gt;Worldwatch Institute&lt;/publisher&gt;&lt;urls&gt;&lt;/urls&gt;&lt;/record&gt;&lt;/Cite&gt;&lt;/EndNote&gt;</w:instrText>
      </w:r>
      <w:r w:rsidRPr="008B43F6">
        <w:rPr>
          <w:iCs/>
        </w:rPr>
        <w:fldChar w:fldCharType="separate"/>
      </w:r>
      <w:r w:rsidR="00251C87">
        <w:rPr>
          <w:iCs/>
          <w:noProof/>
        </w:rPr>
        <w:t>[</w:t>
      </w:r>
      <w:hyperlink w:anchor="_ENREF_40" w:tooltip="Renner, 2008 #30" w:history="1">
        <w:r w:rsidR="00251C87">
          <w:rPr>
            <w:iCs/>
            <w:noProof/>
          </w:rPr>
          <w:t>40</w:t>
        </w:r>
      </w:hyperlink>
      <w:r w:rsidR="00251C87">
        <w:rPr>
          <w:iCs/>
          <w:noProof/>
        </w:rPr>
        <w:t>]</w:t>
      </w:r>
      <w:r w:rsidRPr="008B43F6">
        <w:rPr>
          <w:iCs/>
        </w:rPr>
        <w:fldChar w:fldCharType="end"/>
      </w:r>
      <w:r w:rsidRPr="008B43F6">
        <w:rPr>
          <w:iCs/>
        </w:rPr>
        <w:t>.</w:t>
      </w:r>
    </w:p>
    <w:p w:rsidR="002C0CCF" w:rsidRPr="008B43F6" w:rsidRDefault="002C0CCF" w:rsidP="00AD6847">
      <w:pPr>
        <w:jc w:val="both"/>
        <w:rPr>
          <w:bCs/>
        </w:rPr>
      </w:pPr>
      <w:r w:rsidRPr="008B43F6">
        <w:rPr>
          <w:bCs/>
        </w:rPr>
        <w:t>Al evaluar los efectos en el empleo, es importante considerar si los puestos de trabajo se están creando en el país en donde tienen lugar las inversiones, o en otra parte. La mayoría de los estudios tienden a abordar el tema del potencial de empleo desde una perspectiva nacional y / o regional, y pocos toman en consideración la oferta global y las cadenas de valor para las industrias y productos de bajo carbono. Sin embargo, la inversión en tecnologías de energía limpia en un lugar, puede crear oportunidades de empleo en otros lugares, ya que las cadenas de suministro y valor están organizadas a nivel global.</w:t>
      </w:r>
    </w:p>
    <w:p w:rsidR="002C0CCF" w:rsidRPr="008B43F6" w:rsidRDefault="002C0CCF" w:rsidP="00AD6847">
      <w:pPr>
        <w:jc w:val="both"/>
        <w:rPr>
          <w:bCs/>
        </w:rPr>
      </w:pPr>
      <w:r w:rsidRPr="008B43F6">
        <w:rPr>
          <w:bCs/>
        </w:rPr>
        <w:t>El impacto variará en función del tipo de tecnología y del tipo de empleo que sea creado. La fabricación de componentes es bastante compleja; y es probable que inicialmente deban ser importados, creando puestos de trabajo en el extranjero.</w:t>
      </w:r>
    </w:p>
    <w:p w:rsidR="002C0CCF" w:rsidRPr="008B43F6" w:rsidRDefault="002C0CCF" w:rsidP="00AD6847">
      <w:pPr>
        <w:jc w:val="both"/>
        <w:rPr>
          <w:bCs/>
        </w:rPr>
      </w:pPr>
      <w:r w:rsidRPr="008B43F6">
        <w:rPr>
          <w:bCs/>
        </w:rPr>
        <w:t>La inversión local para aumentar la capacidad de producción, y por tanto, los puestos de trabajo locales, sólo se logrará una vez creado un mercado interno sustancialmente estable. Por otro lado, la operación y el mantenimiento crean por lo general, más trabajos a nivel local.</w:t>
      </w:r>
    </w:p>
    <w:p w:rsidR="002C0CCF" w:rsidRPr="008B43F6" w:rsidRDefault="002C0CCF" w:rsidP="00AD6847">
      <w:pPr>
        <w:pStyle w:val="Pa1"/>
        <w:spacing w:after="160" w:line="276" w:lineRule="auto"/>
        <w:jc w:val="both"/>
        <w:rPr>
          <w:rFonts w:asciiTheme="minorHAnsi" w:hAnsiTheme="minorHAnsi"/>
          <w:bCs/>
          <w:sz w:val="22"/>
          <w:szCs w:val="22"/>
          <w:lang w:val="es-MX"/>
        </w:rPr>
      </w:pPr>
      <w:r w:rsidRPr="008B43F6">
        <w:rPr>
          <w:rFonts w:asciiTheme="minorHAnsi" w:hAnsiTheme="minorHAnsi"/>
          <w:bCs/>
          <w:sz w:val="22"/>
          <w:szCs w:val="22"/>
          <w:lang w:val="es-MX"/>
        </w:rPr>
        <w:t xml:space="preserve">Además del potencial cuantitativo, es importante resaltar que la construcción de vivienda verde puede ser una oportunidad para mejorar de forma importante el empleo del sector desde el punto de vista cualitativo. Requiere un importante plan de formación para la adaptación de los conocimientos de los trabajadores a nivel conceptual y técnico en muchos casos. Además es importante resaltar que se necesitarán una serie de nuevos perfiles profesionales, específicos para </w:t>
      </w:r>
      <w:r w:rsidRPr="008B43F6">
        <w:rPr>
          <w:rFonts w:asciiTheme="minorHAnsi" w:hAnsiTheme="minorHAnsi"/>
          <w:bCs/>
          <w:sz w:val="22"/>
          <w:szCs w:val="22"/>
          <w:lang w:val="es-MX"/>
        </w:rPr>
        <w:lastRenderedPageBreak/>
        <w:t>los procesos de rehabilitación y construcción energéticamente eficiente. Se trata principalmente de los puestos de trabajo en relación con el usuario que hemos llamado de gestión. La tabla 1 resume algunas de las competencias necesarias para la remodelación/construcción sustentable en los países en desarrollo.</w:t>
      </w:r>
    </w:p>
    <w:p w:rsidR="002C0CCF" w:rsidRPr="008B43F6" w:rsidRDefault="002C0CCF" w:rsidP="00C92E54">
      <w:pPr>
        <w:rPr>
          <w:b/>
          <w:bCs/>
        </w:rPr>
      </w:pPr>
      <w:r w:rsidRPr="008B43F6">
        <w:rPr>
          <w:b/>
          <w:bCs/>
        </w:rPr>
        <w:t>Tabla 1. Competencias y tipos de trabajo que se requieren para la remodelación/construcción sustentable en los países en desarrollo</w:t>
      </w:r>
    </w:p>
    <w:tbl>
      <w:tblPr>
        <w:tblStyle w:val="Tablaconcuadrcula"/>
        <w:tblW w:w="0" w:type="auto"/>
        <w:tblLook w:val="04A0" w:firstRow="1" w:lastRow="0" w:firstColumn="1" w:lastColumn="0" w:noHBand="0" w:noVBand="1"/>
      </w:tblPr>
      <w:tblGrid>
        <w:gridCol w:w="4527"/>
        <w:gridCol w:w="4527"/>
      </w:tblGrid>
      <w:tr w:rsidR="002C0CCF" w:rsidRPr="008B43F6" w:rsidTr="00F14047">
        <w:tc>
          <w:tcPr>
            <w:tcW w:w="4527" w:type="dxa"/>
          </w:tcPr>
          <w:p w:rsidR="002C0CCF" w:rsidRPr="008B43F6" w:rsidRDefault="002C0CCF" w:rsidP="00C92E54">
            <w:pPr>
              <w:pStyle w:val="Default"/>
              <w:spacing w:line="276" w:lineRule="auto"/>
              <w:rPr>
                <w:rFonts w:asciiTheme="minorHAnsi" w:hAnsiTheme="minorHAnsi"/>
                <w:sz w:val="19"/>
                <w:szCs w:val="19"/>
              </w:rPr>
            </w:pPr>
            <w:r w:rsidRPr="008B43F6">
              <w:rPr>
                <w:rFonts w:asciiTheme="minorHAnsi" w:hAnsiTheme="minorHAnsi"/>
                <w:b/>
                <w:bCs/>
                <w:sz w:val="19"/>
                <w:szCs w:val="19"/>
              </w:rPr>
              <w:t xml:space="preserve">Actividad componente </w:t>
            </w:r>
          </w:p>
        </w:tc>
        <w:tc>
          <w:tcPr>
            <w:tcW w:w="4527" w:type="dxa"/>
          </w:tcPr>
          <w:p w:rsidR="002C0CCF" w:rsidRPr="008B43F6" w:rsidRDefault="002C0CCF" w:rsidP="00C92E54">
            <w:pPr>
              <w:pStyle w:val="Default"/>
              <w:spacing w:line="276" w:lineRule="auto"/>
              <w:rPr>
                <w:rFonts w:asciiTheme="minorHAnsi" w:hAnsiTheme="minorHAnsi"/>
                <w:sz w:val="19"/>
                <w:szCs w:val="19"/>
              </w:rPr>
            </w:pPr>
            <w:r w:rsidRPr="008B43F6">
              <w:rPr>
                <w:rFonts w:asciiTheme="minorHAnsi" w:hAnsiTheme="minorHAnsi"/>
                <w:b/>
                <w:bCs/>
                <w:sz w:val="19"/>
                <w:szCs w:val="19"/>
              </w:rPr>
              <w:t xml:space="preserve">Competencias necesarias </w:t>
            </w:r>
          </w:p>
        </w:tc>
      </w:tr>
      <w:tr w:rsidR="002C0CCF" w:rsidRPr="008B43F6" w:rsidTr="00F14047">
        <w:tc>
          <w:tcPr>
            <w:tcW w:w="4527" w:type="dxa"/>
          </w:tcPr>
          <w:p w:rsidR="002C0CCF" w:rsidRPr="008B43F6" w:rsidRDefault="002C0CCF" w:rsidP="00C92E54">
            <w:pPr>
              <w:pStyle w:val="Default"/>
              <w:spacing w:line="276" w:lineRule="auto"/>
              <w:rPr>
                <w:rFonts w:asciiTheme="minorHAnsi" w:hAnsiTheme="minorHAnsi"/>
                <w:b/>
                <w:bCs/>
                <w:sz w:val="19"/>
                <w:szCs w:val="19"/>
                <w:lang w:val="es-MX"/>
              </w:rPr>
            </w:pPr>
            <w:r w:rsidRPr="008B43F6">
              <w:rPr>
                <w:rFonts w:asciiTheme="minorHAnsi" w:hAnsiTheme="minorHAnsi"/>
                <w:sz w:val="19"/>
                <w:szCs w:val="19"/>
                <w:lang w:val="es-MX"/>
              </w:rPr>
              <w:t>Actividades antes de la ejecución de los proyectos</w:t>
            </w:r>
            <w:r w:rsidRPr="008B43F6">
              <w:rPr>
                <w:rFonts w:asciiTheme="minorHAnsi" w:hAnsiTheme="minorHAnsi"/>
                <w:sz w:val="19"/>
                <w:szCs w:val="19"/>
                <w:lang w:val="es-MX"/>
              </w:rPr>
              <w:br/>
              <w:t>Reuniones de consulta con los residentes</w:t>
            </w:r>
            <w:r w:rsidRPr="008B43F6">
              <w:rPr>
                <w:rFonts w:asciiTheme="minorHAnsi" w:hAnsiTheme="minorHAnsi"/>
                <w:sz w:val="19"/>
                <w:szCs w:val="19"/>
                <w:lang w:val="es-MX"/>
              </w:rPr>
              <w:br/>
              <w:t>Diseño o establecimiento de los requerimientos del proyecto con los residentes</w:t>
            </w:r>
          </w:p>
        </w:tc>
        <w:tc>
          <w:tcPr>
            <w:tcW w:w="4527" w:type="dxa"/>
          </w:tcPr>
          <w:p w:rsidR="002C0CCF" w:rsidRPr="008B43F6" w:rsidRDefault="002C0CCF" w:rsidP="00C92E54">
            <w:pPr>
              <w:pStyle w:val="Default"/>
              <w:spacing w:line="276" w:lineRule="auto"/>
              <w:rPr>
                <w:rFonts w:asciiTheme="minorHAnsi" w:hAnsiTheme="minorHAnsi"/>
                <w:sz w:val="19"/>
                <w:szCs w:val="19"/>
                <w:lang w:val="es-MX"/>
              </w:rPr>
            </w:pPr>
            <w:r w:rsidRPr="008B43F6">
              <w:rPr>
                <w:rFonts w:asciiTheme="minorHAnsi" w:hAnsiTheme="minorHAnsi"/>
                <w:sz w:val="19"/>
                <w:szCs w:val="19"/>
                <w:lang w:val="es-MX"/>
              </w:rPr>
              <w:t>Ingeniero</w:t>
            </w:r>
            <w:r w:rsidRPr="008B43F6">
              <w:rPr>
                <w:rFonts w:asciiTheme="minorHAnsi" w:hAnsiTheme="minorHAnsi"/>
                <w:sz w:val="19"/>
                <w:szCs w:val="19"/>
                <w:lang w:val="es-MX"/>
              </w:rPr>
              <w:br/>
              <w:t>Encuestador</w:t>
            </w:r>
            <w:r w:rsidRPr="008B43F6">
              <w:rPr>
                <w:rFonts w:asciiTheme="minorHAnsi" w:hAnsiTheme="minorHAnsi"/>
                <w:sz w:val="19"/>
                <w:szCs w:val="19"/>
                <w:lang w:val="es-MX"/>
              </w:rPr>
              <w:br/>
              <w:t>Agente comercial</w:t>
            </w:r>
            <w:r w:rsidRPr="008B43F6">
              <w:rPr>
                <w:rFonts w:asciiTheme="minorHAnsi" w:hAnsiTheme="minorHAnsi"/>
                <w:sz w:val="19"/>
                <w:szCs w:val="19"/>
                <w:lang w:val="es-MX"/>
              </w:rPr>
              <w:br/>
              <w:t>Transporte</w:t>
            </w:r>
            <w:r w:rsidRPr="008B43F6">
              <w:rPr>
                <w:rFonts w:asciiTheme="minorHAnsi" w:hAnsiTheme="minorHAnsi"/>
                <w:sz w:val="19"/>
                <w:szCs w:val="19"/>
                <w:lang w:val="es-MX"/>
              </w:rPr>
              <w:br/>
              <w:t>Seguridad</w:t>
            </w:r>
            <w:r w:rsidRPr="008B43F6">
              <w:rPr>
                <w:rFonts w:asciiTheme="minorHAnsi" w:hAnsiTheme="minorHAnsi"/>
                <w:sz w:val="19"/>
                <w:szCs w:val="19"/>
                <w:lang w:val="es-MX"/>
              </w:rPr>
              <w:br/>
              <w:t>Trabajador no calificado</w:t>
            </w:r>
          </w:p>
          <w:p w:rsidR="002C0CCF" w:rsidRPr="008B43F6" w:rsidRDefault="002C0CCF" w:rsidP="00C92E54">
            <w:pPr>
              <w:tabs>
                <w:tab w:val="left" w:pos="1380"/>
              </w:tabs>
              <w:spacing w:line="276" w:lineRule="auto"/>
            </w:pPr>
            <w:r w:rsidRPr="008B43F6">
              <w:tab/>
            </w:r>
          </w:p>
        </w:tc>
      </w:tr>
      <w:tr w:rsidR="002C0CCF" w:rsidRPr="008B43F6" w:rsidTr="00F14047">
        <w:tc>
          <w:tcPr>
            <w:tcW w:w="4527" w:type="dxa"/>
          </w:tcPr>
          <w:p w:rsidR="002C0CCF" w:rsidRPr="008B43F6" w:rsidRDefault="002C0CCF" w:rsidP="00C92E54">
            <w:pPr>
              <w:pStyle w:val="Default"/>
              <w:spacing w:line="276" w:lineRule="auto"/>
              <w:rPr>
                <w:rFonts w:asciiTheme="minorHAnsi" w:hAnsiTheme="minorHAnsi"/>
                <w:sz w:val="19"/>
                <w:szCs w:val="19"/>
                <w:lang w:val="es-MX"/>
              </w:rPr>
            </w:pPr>
            <w:r w:rsidRPr="008B43F6">
              <w:rPr>
                <w:rFonts w:asciiTheme="minorHAnsi" w:hAnsiTheme="minorHAnsi"/>
                <w:sz w:val="19"/>
                <w:szCs w:val="19"/>
                <w:lang w:val="es-MX"/>
              </w:rPr>
              <w:t>Actividades durante la ejecución de los proyectos</w:t>
            </w:r>
            <w:r w:rsidRPr="008B43F6">
              <w:rPr>
                <w:rFonts w:asciiTheme="minorHAnsi" w:hAnsiTheme="minorHAnsi"/>
                <w:sz w:val="19"/>
                <w:szCs w:val="19"/>
                <w:lang w:val="es-MX"/>
              </w:rPr>
              <w:br/>
              <w:t>Aislamiento (techo, pared, piso, ático)</w:t>
            </w:r>
            <w:r w:rsidRPr="008B43F6">
              <w:rPr>
                <w:rFonts w:asciiTheme="minorHAnsi" w:hAnsiTheme="minorHAnsi"/>
                <w:sz w:val="19"/>
                <w:szCs w:val="19"/>
                <w:lang w:val="es-MX"/>
              </w:rPr>
              <w:br/>
              <w:t>Sellado de aire</w:t>
            </w:r>
            <w:r w:rsidRPr="008B43F6">
              <w:rPr>
                <w:rFonts w:asciiTheme="minorHAnsi" w:hAnsiTheme="minorHAnsi"/>
                <w:sz w:val="19"/>
                <w:szCs w:val="19"/>
                <w:lang w:val="es-MX"/>
              </w:rPr>
              <w:br/>
              <w:t>Calentamiento de espacios (calefactores debajo del piso, bombas de calor geotérmicas, tubos fotovoltaicos)</w:t>
            </w:r>
            <w:r w:rsidRPr="008B43F6">
              <w:rPr>
                <w:rFonts w:asciiTheme="minorHAnsi" w:hAnsiTheme="minorHAnsi"/>
                <w:sz w:val="19"/>
                <w:szCs w:val="19"/>
                <w:lang w:val="es-MX"/>
              </w:rPr>
              <w:br/>
              <w:t>Calentamiento de agua (calentadores)</w:t>
            </w:r>
            <w:r w:rsidRPr="008B43F6">
              <w:rPr>
                <w:rFonts w:asciiTheme="minorHAnsi" w:hAnsiTheme="minorHAnsi"/>
                <w:sz w:val="19"/>
                <w:szCs w:val="19"/>
                <w:lang w:val="es-MX"/>
              </w:rPr>
              <w:br/>
              <w:t>Ventilación (conductos de ventilación pasiva, cambio de ventanas, instalación de ventiladores)</w:t>
            </w:r>
            <w:r w:rsidRPr="008B43F6">
              <w:rPr>
                <w:rFonts w:asciiTheme="minorHAnsi" w:hAnsiTheme="minorHAnsi"/>
                <w:sz w:val="19"/>
                <w:szCs w:val="19"/>
                <w:lang w:val="es-MX"/>
              </w:rPr>
              <w:br/>
              <w:t>Electrodomésticos eficientes</w:t>
            </w:r>
            <w:r w:rsidRPr="008B43F6">
              <w:rPr>
                <w:rFonts w:asciiTheme="minorHAnsi" w:hAnsiTheme="minorHAnsi"/>
                <w:sz w:val="19"/>
                <w:szCs w:val="19"/>
                <w:lang w:val="es-MX"/>
              </w:rPr>
              <w:br/>
              <w:t>Sistemas fotovoltaicos</w:t>
            </w:r>
            <w:r w:rsidRPr="008B43F6">
              <w:rPr>
                <w:rFonts w:asciiTheme="minorHAnsi" w:hAnsiTheme="minorHAnsi"/>
                <w:sz w:val="19"/>
                <w:szCs w:val="19"/>
                <w:lang w:val="es-MX"/>
              </w:rPr>
              <w:br/>
              <w:t>Cableado eléctrico</w:t>
            </w:r>
            <w:r w:rsidRPr="008B43F6">
              <w:rPr>
                <w:rFonts w:asciiTheme="minorHAnsi" w:hAnsiTheme="minorHAnsi"/>
                <w:sz w:val="19"/>
                <w:szCs w:val="19"/>
                <w:lang w:val="es-MX"/>
              </w:rPr>
              <w:br/>
              <w:t>Sistema de aguas grises</w:t>
            </w:r>
            <w:r w:rsidRPr="008B43F6">
              <w:rPr>
                <w:rFonts w:asciiTheme="minorHAnsi" w:hAnsiTheme="minorHAnsi"/>
                <w:sz w:val="19"/>
                <w:szCs w:val="19"/>
                <w:lang w:val="es-MX"/>
              </w:rPr>
              <w:br/>
              <w:t>Recolección de agua de lluvia</w:t>
            </w:r>
            <w:r w:rsidRPr="008B43F6">
              <w:rPr>
                <w:rFonts w:asciiTheme="minorHAnsi" w:hAnsiTheme="minorHAnsi"/>
                <w:sz w:val="19"/>
                <w:szCs w:val="19"/>
                <w:lang w:val="es-MX"/>
              </w:rPr>
              <w:br/>
              <w:t>Conservación del agua (sustitución del inodoro existente con uno de bajo nivel o doble descarga)</w:t>
            </w:r>
            <w:r w:rsidRPr="008B43F6">
              <w:rPr>
                <w:rFonts w:asciiTheme="minorHAnsi" w:hAnsiTheme="minorHAnsi"/>
                <w:sz w:val="19"/>
                <w:szCs w:val="19"/>
                <w:lang w:val="es-MX"/>
              </w:rPr>
              <w:br/>
              <w:t>Plomería</w:t>
            </w:r>
            <w:r w:rsidRPr="008B43F6">
              <w:rPr>
                <w:rFonts w:asciiTheme="minorHAnsi" w:hAnsiTheme="minorHAnsi"/>
                <w:sz w:val="19"/>
                <w:szCs w:val="19"/>
                <w:lang w:val="es-MX"/>
              </w:rPr>
              <w:br/>
              <w:t>Obras de concreto</w:t>
            </w:r>
            <w:r w:rsidRPr="008B43F6">
              <w:rPr>
                <w:rFonts w:asciiTheme="minorHAnsi" w:hAnsiTheme="minorHAnsi"/>
                <w:sz w:val="19"/>
                <w:szCs w:val="19"/>
                <w:lang w:val="es-MX"/>
              </w:rPr>
              <w:br/>
              <w:t>Carpintería</w:t>
            </w:r>
            <w:r w:rsidRPr="008B43F6">
              <w:rPr>
                <w:rFonts w:asciiTheme="minorHAnsi" w:hAnsiTheme="minorHAnsi"/>
                <w:sz w:val="19"/>
                <w:szCs w:val="19"/>
                <w:lang w:val="es-MX"/>
              </w:rPr>
              <w:br/>
              <w:t>Pinturas y papel colgante</w:t>
            </w:r>
            <w:r w:rsidRPr="008B43F6">
              <w:rPr>
                <w:rFonts w:asciiTheme="minorHAnsi" w:hAnsiTheme="minorHAnsi"/>
                <w:sz w:val="19"/>
                <w:szCs w:val="19"/>
                <w:lang w:val="es-MX"/>
              </w:rPr>
              <w:br/>
              <w:t>Albañilería</w:t>
            </w:r>
            <w:r w:rsidRPr="008B43F6">
              <w:rPr>
                <w:rFonts w:asciiTheme="minorHAnsi" w:hAnsiTheme="minorHAnsi"/>
                <w:sz w:val="19"/>
                <w:szCs w:val="19"/>
                <w:lang w:val="es-MX"/>
              </w:rPr>
              <w:br/>
              <w:t>Colocación de azulejos</w:t>
            </w:r>
            <w:r w:rsidRPr="008B43F6">
              <w:rPr>
                <w:rFonts w:asciiTheme="minorHAnsi" w:hAnsiTheme="minorHAnsi"/>
                <w:sz w:val="19"/>
                <w:szCs w:val="19"/>
                <w:lang w:val="es-MX"/>
              </w:rPr>
              <w:br/>
              <w:t>Colocación de pisos</w:t>
            </w:r>
          </w:p>
        </w:tc>
        <w:tc>
          <w:tcPr>
            <w:tcW w:w="4527" w:type="dxa"/>
          </w:tcPr>
          <w:p w:rsidR="002C0CCF" w:rsidRPr="008B43F6" w:rsidRDefault="002C0CCF" w:rsidP="00C92E54">
            <w:pPr>
              <w:pStyle w:val="Default"/>
              <w:spacing w:line="276" w:lineRule="auto"/>
              <w:rPr>
                <w:rFonts w:asciiTheme="minorHAnsi" w:hAnsiTheme="minorHAnsi"/>
                <w:lang w:val="es-MX"/>
              </w:rPr>
            </w:pPr>
            <w:r w:rsidRPr="008B43F6">
              <w:rPr>
                <w:rFonts w:asciiTheme="minorHAnsi" w:hAnsiTheme="minorHAnsi"/>
                <w:sz w:val="19"/>
                <w:szCs w:val="19"/>
                <w:lang w:val="es-MX"/>
              </w:rPr>
              <w:t>Ingeniero</w:t>
            </w:r>
            <w:r w:rsidRPr="008B43F6">
              <w:rPr>
                <w:rFonts w:asciiTheme="minorHAnsi" w:hAnsiTheme="minorHAnsi"/>
                <w:sz w:val="19"/>
                <w:szCs w:val="19"/>
                <w:lang w:val="es-MX"/>
              </w:rPr>
              <w:br/>
              <w:t>Trabajador no calificado</w:t>
            </w:r>
            <w:r w:rsidRPr="008B43F6">
              <w:rPr>
                <w:rFonts w:asciiTheme="minorHAnsi" w:hAnsiTheme="minorHAnsi"/>
                <w:sz w:val="19"/>
                <w:szCs w:val="19"/>
                <w:lang w:val="es-MX"/>
              </w:rPr>
              <w:br/>
              <w:t>Plomero</w:t>
            </w:r>
            <w:r w:rsidRPr="008B43F6">
              <w:rPr>
                <w:rFonts w:asciiTheme="minorHAnsi" w:hAnsiTheme="minorHAnsi"/>
                <w:sz w:val="19"/>
                <w:szCs w:val="19"/>
                <w:lang w:val="es-MX"/>
              </w:rPr>
              <w:br/>
              <w:t>Electricista</w:t>
            </w:r>
            <w:r w:rsidRPr="008B43F6">
              <w:rPr>
                <w:rFonts w:asciiTheme="minorHAnsi" w:hAnsiTheme="minorHAnsi"/>
                <w:sz w:val="19"/>
                <w:szCs w:val="19"/>
                <w:lang w:val="es-MX"/>
              </w:rPr>
              <w:br/>
              <w:t>Constructor</w:t>
            </w:r>
            <w:r w:rsidRPr="008B43F6">
              <w:rPr>
                <w:rFonts w:asciiTheme="minorHAnsi" w:hAnsiTheme="minorHAnsi"/>
                <w:sz w:val="19"/>
                <w:szCs w:val="19"/>
                <w:lang w:val="es-MX"/>
              </w:rPr>
              <w:br/>
              <w:t>Carpintero</w:t>
            </w:r>
            <w:r w:rsidRPr="008B43F6">
              <w:rPr>
                <w:rFonts w:asciiTheme="minorHAnsi" w:hAnsiTheme="minorHAnsi"/>
                <w:sz w:val="19"/>
                <w:szCs w:val="19"/>
                <w:lang w:val="es-MX"/>
              </w:rPr>
              <w:br/>
              <w:t>Pintor</w:t>
            </w:r>
            <w:r w:rsidRPr="008B43F6">
              <w:rPr>
                <w:rFonts w:asciiTheme="minorHAnsi" w:hAnsiTheme="minorHAnsi"/>
                <w:sz w:val="19"/>
                <w:szCs w:val="19"/>
                <w:lang w:val="es-MX"/>
              </w:rPr>
              <w:br/>
              <w:t>Oficial de enlace</w:t>
            </w:r>
            <w:r w:rsidRPr="008B43F6">
              <w:rPr>
                <w:rFonts w:asciiTheme="minorHAnsi" w:hAnsiTheme="minorHAnsi"/>
                <w:sz w:val="19"/>
                <w:szCs w:val="19"/>
                <w:lang w:val="es-MX"/>
              </w:rPr>
              <w:br/>
              <w:t>Supervisor general</w:t>
            </w:r>
            <w:r w:rsidRPr="008B43F6">
              <w:rPr>
                <w:rFonts w:asciiTheme="minorHAnsi" w:hAnsiTheme="minorHAnsi"/>
                <w:sz w:val="19"/>
                <w:szCs w:val="19"/>
                <w:lang w:val="es-MX"/>
              </w:rPr>
              <w:br/>
              <w:t>Yesero</w:t>
            </w:r>
            <w:r w:rsidRPr="008B43F6">
              <w:rPr>
                <w:rFonts w:asciiTheme="minorHAnsi" w:hAnsiTheme="minorHAnsi"/>
                <w:sz w:val="19"/>
                <w:szCs w:val="19"/>
                <w:lang w:val="es-MX"/>
              </w:rPr>
              <w:br/>
              <w:t>Ajustador de tuberías</w:t>
            </w:r>
            <w:r w:rsidRPr="008B43F6">
              <w:rPr>
                <w:rFonts w:asciiTheme="minorHAnsi" w:hAnsiTheme="minorHAnsi"/>
                <w:sz w:val="19"/>
                <w:szCs w:val="19"/>
                <w:lang w:val="es-MX"/>
              </w:rPr>
              <w:br/>
              <w:t>Albañil</w:t>
            </w:r>
            <w:r w:rsidRPr="008B43F6">
              <w:rPr>
                <w:rFonts w:asciiTheme="minorHAnsi" w:hAnsiTheme="minorHAnsi"/>
                <w:sz w:val="19"/>
                <w:szCs w:val="19"/>
                <w:lang w:val="es-MX"/>
              </w:rPr>
              <w:br/>
              <w:t>Capataz</w:t>
            </w:r>
            <w:r w:rsidRPr="008B43F6">
              <w:rPr>
                <w:rFonts w:asciiTheme="minorHAnsi" w:hAnsiTheme="minorHAnsi"/>
                <w:sz w:val="19"/>
                <w:szCs w:val="19"/>
                <w:lang w:val="es-MX"/>
              </w:rPr>
              <w:br/>
              <w:t>Fabricantes</w:t>
            </w:r>
            <w:r w:rsidRPr="008B43F6">
              <w:rPr>
                <w:rFonts w:asciiTheme="minorHAnsi" w:hAnsiTheme="minorHAnsi"/>
                <w:sz w:val="19"/>
                <w:szCs w:val="19"/>
                <w:lang w:val="es-MX"/>
              </w:rPr>
              <w:tab/>
            </w:r>
          </w:p>
        </w:tc>
      </w:tr>
      <w:tr w:rsidR="002C0CCF" w:rsidRPr="008B43F6" w:rsidTr="00F14047">
        <w:tc>
          <w:tcPr>
            <w:tcW w:w="4527" w:type="dxa"/>
          </w:tcPr>
          <w:p w:rsidR="002C0CCF" w:rsidRPr="008B43F6" w:rsidRDefault="002C0CCF" w:rsidP="00C92E54">
            <w:pPr>
              <w:pStyle w:val="Default"/>
              <w:spacing w:line="276" w:lineRule="auto"/>
              <w:rPr>
                <w:rFonts w:asciiTheme="minorHAnsi" w:hAnsiTheme="minorHAnsi"/>
                <w:sz w:val="19"/>
                <w:szCs w:val="19"/>
                <w:lang w:val="es-MX"/>
              </w:rPr>
            </w:pPr>
            <w:r w:rsidRPr="008B43F6">
              <w:rPr>
                <w:rFonts w:asciiTheme="minorHAnsi" w:hAnsiTheme="minorHAnsi"/>
                <w:sz w:val="19"/>
                <w:szCs w:val="19"/>
                <w:lang w:val="es-MX"/>
              </w:rPr>
              <w:t>Actividades después de que el proyecto haya sido concluido</w:t>
            </w:r>
            <w:r w:rsidRPr="008B43F6">
              <w:rPr>
                <w:rFonts w:asciiTheme="minorHAnsi" w:hAnsiTheme="minorHAnsi"/>
                <w:sz w:val="19"/>
                <w:szCs w:val="19"/>
                <w:lang w:val="es-MX"/>
              </w:rPr>
              <w:br/>
              <w:t>Inspección y mantenimiento constante</w:t>
            </w:r>
            <w:r w:rsidRPr="008B43F6">
              <w:rPr>
                <w:rFonts w:asciiTheme="minorHAnsi" w:hAnsiTheme="minorHAnsi"/>
                <w:sz w:val="19"/>
                <w:szCs w:val="19"/>
                <w:lang w:val="es-MX"/>
              </w:rPr>
              <w:br/>
              <w:t>Cobro de alquileres</w:t>
            </w:r>
            <w:r w:rsidRPr="008B43F6">
              <w:rPr>
                <w:rFonts w:asciiTheme="minorHAnsi" w:hAnsiTheme="minorHAnsi"/>
                <w:sz w:val="19"/>
                <w:szCs w:val="19"/>
                <w:lang w:val="es-MX"/>
              </w:rPr>
              <w:br/>
              <w:t>Controles de seguridad</w:t>
            </w:r>
          </w:p>
        </w:tc>
        <w:tc>
          <w:tcPr>
            <w:tcW w:w="4527" w:type="dxa"/>
          </w:tcPr>
          <w:p w:rsidR="002C0CCF" w:rsidRPr="008B43F6" w:rsidRDefault="002C0CCF" w:rsidP="00C92E54">
            <w:pPr>
              <w:pStyle w:val="Default"/>
              <w:spacing w:line="276" w:lineRule="auto"/>
              <w:rPr>
                <w:rFonts w:asciiTheme="minorHAnsi" w:hAnsiTheme="minorHAnsi"/>
                <w:sz w:val="19"/>
                <w:szCs w:val="19"/>
              </w:rPr>
            </w:pPr>
            <w:r w:rsidRPr="008B43F6">
              <w:rPr>
                <w:rFonts w:asciiTheme="minorHAnsi" w:hAnsiTheme="minorHAnsi"/>
                <w:sz w:val="19"/>
                <w:szCs w:val="19"/>
              </w:rPr>
              <w:t xml:space="preserve">Maintenance officer </w:t>
            </w:r>
          </w:p>
          <w:p w:rsidR="002C0CCF" w:rsidRPr="008B43F6" w:rsidRDefault="002C0CCF" w:rsidP="00C92E54">
            <w:pPr>
              <w:pStyle w:val="Default"/>
              <w:spacing w:line="276" w:lineRule="auto"/>
              <w:rPr>
                <w:rFonts w:asciiTheme="minorHAnsi" w:hAnsiTheme="minorHAnsi"/>
                <w:sz w:val="19"/>
                <w:szCs w:val="19"/>
              </w:rPr>
            </w:pPr>
            <w:r w:rsidRPr="008B43F6">
              <w:rPr>
                <w:rFonts w:asciiTheme="minorHAnsi" w:hAnsiTheme="minorHAnsi"/>
                <w:sz w:val="19"/>
                <w:szCs w:val="19"/>
              </w:rPr>
              <w:t xml:space="preserve">Security </w:t>
            </w:r>
          </w:p>
          <w:p w:rsidR="002C0CCF" w:rsidRPr="008B43F6" w:rsidRDefault="002C0CCF" w:rsidP="00C92E54">
            <w:pPr>
              <w:pStyle w:val="Default"/>
              <w:spacing w:line="276" w:lineRule="auto"/>
              <w:rPr>
                <w:rFonts w:asciiTheme="minorHAnsi" w:hAnsiTheme="minorHAnsi"/>
                <w:sz w:val="19"/>
                <w:szCs w:val="19"/>
              </w:rPr>
            </w:pPr>
            <w:r w:rsidRPr="008B43F6">
              <w:rPr>
                <w:rFonts w:asciiTheme="minorHAnsi" w:hAnsiTheme="minorHAnsi"/>
                <w:sz w:val="19"/>
                <w:szCs w:val="19"/>
              </w:rPr>
              <w:t xml:space="preserve">Property manager </w:t>
            </w:r>
          </w:p>
          <w:p w:rsidR="002C0CCF" w:rsidRPr="008B43F6" w:rsidRDefault="002C0CCF" w:rsidP="00C92E54">
            <w:pPr>
              <w:pStyle w:val="Default"/>
              <w:spacing w:line="276" w:lineRule="auto"/>
              <w:rPr>
                <w:rFonts w:asciiTheme="minorHAnsi" w:hAnsiTheme="minorHAnsi"/>
                <w:sz w:val="19"/>
                <w:szCs w:val="19"/>
              </w:rPr>
            </w:pPr>
            <w:r w:rsidRPr="008B43F6">
              <w:rPr>
                <w:rFonts w:asciiTheme="minorHAnsi" w:hAnsiTheme="minorHAnsi"/>
                <w:sz w:val="19"/>
                <w:szCs w:val="19"/>
              </w:rPr>
              <w:t xml:space="preserve">Property manager </w:t>
            </w:r>
          </w:p>
          <w:p w:rsidR="002C0CCF" w:rsidRPr="008B43F6" w:rsidRDefault="002C0CCF" w:rsidP="00C92E54">
            <w:pPr>
              <w:pStyle w:val="Default"/>
              <w:spacing w:line="276" w:lineRule="auto"/>
              <w:rPr>
                <w:rFonts w:asciiTheme="minorHAnsi" w:hAnsiTheme="minorHAnsi"/>
                <w:sz w:val="19"/>
                <w:szCs w:val="19"/>
              </w:rPr>
            </w:pPr>
          </w:p>
          <w:p w:rsidR="002C0CCF" w:rsidRPr="008B43F6" w:rsidRDefault="002C0CCF" w:rsidP="00C92E54">
            <w:pPr>
              <w:pStyle w:val="Default"/>
              <w:spacing w:line="276" w:lineRule="auto"/>
              <w:rPr>
                <w:rFonts w:asciiTheme="minorHAnsi" w:hAnsiTheme="minorHAnsi"/>
                <w:sz w:val="19"/>
                <w:szCs w:val="19"/>
                <w:lang w:val="es-MX"/>
              </w:rPr>
            </w:pPr>
            <w:r w:rsidRPr="008B43F6">
              <w:rPr>
                <w:rFonts w:asciiTheme="minorHAnsi" w:hAnsiTheme="minorHAnsi"/>
                <w:sz w:val="19"/>
                <w:szCs w:val="19"/>
                <w:lang w:val="es-MX"/>
              </w:rPr>
              <w:t xml:space="preserve">Oficial de mantenimiento </w:t>
            </w:r>
            <w:r w:rsidRPr="008B43F6">
              <w:rPr>
                <w:rFonts w:asciiTheme="minorHAnsi" w:hAnsiTheme="minorHAnsi"/>
                <w:sz w:val="19"/>
                <w:szCs w:val="19"/>
                <w:lang w:val="es-MX"/>
              </w:rPr>
              <w:br/>
              <w:t>Seguridad</w:t>
            </w:r>
            <w:r w:rsidRPr="008B43F6">
              <w:rPr>
                <w:rFonts w:asciiTheme="minorHAnsi" w:hAnsiTheme="minorHAnsi"/>
                <w:sz w:val="19"/>
                <w:szCs w:val="19"/>
                <w:lang w:val="es-MX"/>
              </w:rPr>
              <w:br/>
              <w:t>Administrador de la propiedad</w:t>
            </w:r>
            <w:r w:rsidRPr="008B43F6">
              <w:rPr>
                <w:rFonts w:asciiTheme="minorHAnsi" w:hAnsiTheme="minorHAnsi"/>
                <w:sz w:val="19"/>
                <w:szCs w:val="19"/>
                <w:lang w:val="es-MX"/>
              </w:rPr>
              <w:br/>
              <w:t>Administrador de la propiedad</w:t>
            </w:r>
          </w:p>
        </w:tc>
      </w:tr>
    </w:tbl>
    <w:p w:rsidR="00A653AB" w:rsidRPr="008B43F6" w:rsidRDefault="00841D0E" w:rsidP="00C92E54">
      <w:pPr>
        <w:pStyle w:val="Ttulo1"/>
        <w:rPr>
          <w:rFonts w:asciiTheme="minorHAnsi" w:hAnsiTheme="minorHAnsi"/>
          <w:color w:val="auto"/>
          <w:lang w:val="en-US"/>
        </w:rPr>
      </w:pPr>
      <w:bookmarkStart w:id="122" w:name="_Toc350874998"/>
      <w:bookmarkStart w:id="123" w:name="_Toc351397610"/>
      <w:proofErr w:type="spellStart"/>
      <w:r w:rsidRPr="008B43F6">
        <w:rPr>
          <w:rFonts w:asciiTheme="minorHAnsi" w:hAnsiTheme="minorHAnsi"/>
          <w:lang w:val="en-US"/>
        </w:rPr>
        <w:lastRenderedPageBreak/>
        <w:t>Bibliografía</w:t>
      </w:r>
      <w:bookmarkEnd w:id="122"/>
      <w:bookmarkEnd w:id="123"/>
      <w:proofErr w:type="spellEnd"/>
    </w:p>
    <w:p w:rsidR="00A653AB" w:rsidRPr="008B43F6" w:rsidRDefault="00A653AB" w:rsidP="00C92E54">
      <w:pPr>
        <w:pStyle w:val="Textonotapie"/>
        <w:spacing w:line="276" w:lineRule="auto"/>
        <w:rPr>
          <w:lang w:val="en-US"/>
        </w:rPr>
      </w:pPr>
    </w:p>
    <w:p w:rsidR="00CA0FA2" w:rsidRPr="008B43F6" w:rsidRDefault="00973F36" w:rsidP="00C92E54">
      <w:pPr>
        <w:pStyle w:val="Textonotapie"/>
        <w:spacing w:line="276" w:lineRule="auto"/>
        <w:jc w:val="both"/>
        <w:rPr>
          <w:rFonts w:cs="Arial"/>
          <w:sz w:val="16"/>
          <w:szCs w:val="16"/>
          <w:lang w:val="en-US"/>
        </w:rPr>
      </w:pPr>
      <w:r w:rsidRPr="008B43F6">
        <w:rPr>
          <w:rFonts w:cs="Arial"/>
          <w:sz w:val="16"/>
          <w:szCs w:val="16"/>
          <w:lang w:val="en-US"/>
        </w:rPr>
        <w:t xml:space="preserve"> </w:t>
      </w:r>
    </w:p>
    <w:p w:rsidR="00CA0FA2" w:rsidRPr="008B43F6" w:rsidRDefault="00CA0FA2" w:rsidP="00C92E54">
      <w:pPr>
        <w:pStyle w:val="Textonotapie"/>
        <w:spacing w:line="276" w:lineRule="auto"/>
        <w:jc w:val="both"/>
        <w:rPr>
          <w:rFonts w:cs="Arial"/>
          <w:sz w:val="16"/>
          <w:szCs w:val="16"/>
          <w:lang w:val="en-US"/>
        </w:rPr>
      </w:pPr>
    </w:p>
    <w:p w:rsidR="00251C87" w:rsidRPr="00251C87" w:rsidRDefault="00CA0FA2" w:rsidP="00251C87">
      <w:pPr>
        <w:spacing w:after="0" w:line="240" w:lineRule="auto"/>
        <w:ind w:left="720" w:hanging="720"/>
        <w:jc w:val="both"/>
        <w:rPr>
          <w:rFonts w:ascii="Calibri" w:hAnsi="Calibri" w:cs="Arial"/>
          <w:noProof/>
          <w:sz w:val="20"/>
          <w:szCs w:val="16"/>
          <w:lang w:val="en-US"/>
        </w:rPr>
      </w:pPr>
      <w:r w:rsidRPr="008B43F6">
        <w:rPr>
          <w:rFonts w:cs="Arial"/>
          <w:sz w:val="16"/>
          <w:szCs w:val="16"/>
        </w:rPr>
        <w:fldChar w:fldCharType="begin"/>
      </w:r>
      <w:r w:rsidRPr="008B43F6">
        <w:rPr>
          <w:rFonts w:cs="Arial"/>
          <w:sz w:val="16"/>
          <w:szCs w:val="16"/>
          <w:lang w:val="en-US"/>
        </w:rPr>
        <w:instrText xml:space="preserve"> ADDIN EN.REFLIST </w:instrText>
      </w:r>
      <w:r w:rsidRPr="008B43F6">
        <w:rPr>
          <w:rFonts w:cs="Arial"/>
          <w:sz w:val="16"/>
          <w:szCs w:val="16"/>
        </w:rPr>
        <w:fldChar w:fldCharType="separate"/>
      </w:r>
      <w:bookmarkStart w:id="124" w:name="_ENREF_1"/>
      <w:r w:rsidR="00251C87" w:rsidRPr="00251C87">
        <w:rPr>
          <w:rFonts w:ascii="Calibri" w:hAnsi="Calibri" w:cs="Arial"/>
          <w:noProof/>
          <w:sz w:val="20"/>
          <w:szCs w:val="16"/>
          <w:lang w:val="en-US"/>
        </w:rPr>
        <w:t>1.</w:t>
      </w:r>
      <w:r w:rsidR="00251C87" w:rsidRPr="00251C87">
        <w:rPr>
          <w:rFonts w:ascii="Calibri" w:hAnsi="Calibri" w:cs="Arial"/>
          <w:noProof/>
          <w:sz w:val="20"/>
          <w:szCs w:val="16"/>
          <w:lang w:val="en-US"/>
        </w:rPr>
        <w:tab/>
        <w:t xml:space="preserve">Röbbel, N., </w:t>
      </w:r>
      <w:r w:rsidR="00251C87" w:rsidRPr="00251C87">
        <w:rPr>
          <w:rFonts w:ascii="Calibri" w:hAnsi="Calibri" w:cs="Arial"/>
          <w:i/>
          <w:noProof/>
          <w:sz w:val="20"/>
          <w:szCs w:val="16"/>
          <w:lang w:val="en-US"/>
        </w:rPr>
        <w:t>Health co-benefits of climate change mitigation – Housing sector</w:t>
      </w:r>
      <w:r w:rsidR="00251C87" w:rsidRPr="00251C87">
        <w:rPr>
          <w:rFonts w:ascii="Calibri" w:hAnsi="Calibri" w:cs="Arial"/>
          <w:noProof/>
          <w:sz w:val="20"/>
          <w:szCs w:val="16"/>
          <w:lang w:val="en-US"/>
        </w:rPr>
        <w:t xml:space="preserve">, in </w:t>
      </w:r>
      <w:r w:rsidR="00251C87" w:rsidRPr="00251C87">
        <w:rPr>
          <w:rFonts w:ascii="Calibri" w:hAnsi="Calibri" w:cs="Arial"/>
          <w:i/>
          <w:noProof/>
          <w:sz w:val="20"/>
          <w:szCs w:val="16"/>
          <w:lang w:val="en-US"/>
        </w:rPr>
        <w:t>Health in the green economy</w:t>
      </w:r>
      <w:r w:rsidR="00251C87" w:rsidRPr="00251C87">
        <w:rPr>
          <w:rFonts w:ascii="Calibri" w:hAnsi="Calibri" w:cs="Arial"/>
          <w:noProof/>
          <w:sz w:val="20"/>
          <w:szCs w:val="16"/>
          <w:lang w:val="en-US"/>
        </w:rPr>
        <w:t>2011, World Health Organization: Geneva, Switzerland.</w:t>
      </w:r>
      <w:bookmarkEnd w:id="124"/>
    </w:p>
    <w:p w:rsidR="00251C87" w:rsidRPr="00251C87" w:rsidRDefault="00251C87" w:rsidP="00251C87">
      <w:pPr>
        <w:spacing w:after="0" w:line="240" w:lineRule="auto"/>
        <w:ind w:left="720" w:hanging="720"/>
        <w:jc w:val="both"/>
        <w:rPr>
          <w:rFonts w:ascii="Calibri" w:hAnsi="Calibri" w:cs="Arial"/>
          <w:noProof/>
          <w:sz w:val="20"/>
          <w:szCs w:val="16"/>
          <w:lang w:val="en-US"/>
        </w:rPr>
      </w:pPr>
      <w:bookmarkStart w:id="125" w:name="_ENREF_2"/>
      <w:r w:rsidRPr="00251C87">
        <w:rPr>
          <w:rFonts w:ascii="Calibri" w:hAnsi="Calibri" w:cs="Arial"/>
          <w:noProof/>
          <w:sz w:val="20"/>
          <w:szCs w:val="16"/>
          <w:lang w:val="en-US"/>
        </w:rPr>
        <w:t>2.</w:t>
      </w:r>
      <w:r w:rsidRPr="00251C87">
        <w:rPr>
          <w:rFonts w:ascii="Calibri" w:hAnsi="Calibri" w:cs="Arial"/>
          <w:noProof/>
          <w:sz w:val="20"/>
          <w:szCs w:val="16"/>
          <w:lang w:val="en-US"/>
        </w:rPr>
        <w:tab/>
        <w:t xml:space="preserve">Levine, M., et al., </w:t>
      </w:r>
      <w:r w:rsidRPr="00251C87">
        <w:rPr>
          <w:rFonts w:ascii="Calibri" w:hAnsi="Calibri" w:cs="Arial"/>
          <w:i/>
          <w:noProof/>
          <w:sz w:val="20"/>
          <w:szCs w:val="16"/>
          <w:lang w:val="en-US"/>
        </w:rPr>
        <w:t>Residential and commercial buildings. In Climate Change 2007: Mitigation. Contribution of Working Group III to the Fourth Assessment Report of the Intergovernmental Panel on Climate Change</w:t>
      </w:r>
      <w:r w:rsidRPr="00251C87">
        <w:rPr>
          <w:rFonts w:ascii="Calibri" w:hAnsi="Calibri" w:cs="Arial"/>
          <w:noProof/>
          <w:sz w:val="20"/>
          <w:szCs w:val="16"/>
          <w:lang w:val="en-US"/>
        </w:rPr>
        <w:t>, 2007, Cambridge University Press: Cambridge, United Kingdom and New York, NY, USA.</w:t>
      </w:r>
      <w:bookmarkEnd w:id="125"/>
    </w:p>
    <w:p w:rsidR="00251C87" w:rsidRPr="00251C87" w:rsidRDefault="00251C87" w:rsidP="00251C87">
      <w:pPr>
        <w:spacing w:after="0" w:line="240" w:lineRule="auto"/>
        <w:ind w:left="720" w:hanging="720"/>
        <w:jc w:val="both"/>
        <w:rPr>
          <w:rFonts w:ascii="Calibri" w:hAnsi="Calibri" w:cs="Arial"/>
          <w:noProof/>
          <w:sz w:val="20"/>
          <w:szCs w:val="16"/>
          <w:lang w:val="en-US"/>
        </w:rPr>
      </w:pPr>
      <w:bookmarkStart w:id="126" w:name="_ENREF_3"/>
      <w:r w:rsidRPr="00251C87">
        <w:rPr>
          <w:rFonts w:ascii="Calibri" w:hAnsi="Calibri" w:cs="Arial"/>
          <w:noProof/>
          <w:sz w:val="20"/>
          <w:szCs w:val="16"/>
          <w:lang w:val="en-US"/>
        </w:rPr>
        <w:t>3.</w:t>
      </w:r>
      <w:r w:rsidRPr="00251C87">
        <w:rPr>
          <w:rFonts w:ascii="Calibri" w:hAnsi="Calibri" w:cs="Arial"/>
          <w:noProof/>
          <w:sz w:val="20"/>
          <w:szCs w:val="16"/>
          <w:lang w:val="en-US"/>
        </w:rPr>
        <w:tab/>
        <w:t xml:space="preserve">Ürge-Vorsatz, D., A. Novikova, and M. Sharmina, </w:t>
      </w:r>
      <w:r w:rsidRPr="00251C87">
        <w:rPr>
          <w:rFonts w:ascii="Calibri" w:hAnsi="Calibri" w:cs="Arial"/>
          <w:i/>
          <w:noProof/>
          <w:sz w:val="20"/>
          <w:szCs w:val="16"/>
          <w:lang w:val="en-US"/>
        </w:rPr>
        <w:t>Counting good: quantifying the co-benefits of improved efficiency in buildings</w:t>
      </w:r>
      <w:r w:rsidRPr="00251C87">
        <w:rPr>
          <w:rFonts w:ascii="Calibri" w:hAnsi="Calibri" w:cs="Arial"/>
          <w:noProof/>
          <w:sz w:val="20"/>
          <w:szCs w:val="16"/>
          <w:lang w:val="en-US"/>
        </w:rPr>
        <w:t xml:space="preserve">, in </w:t>
      </w:r>
      <w:r w:rsidRPr="00251C87">
        <w:rPr>
          <w:rFonts w:ascii="Calibri" w:hAnsi="Calibri" w:cs="Arial"/>
          <w:i/>
          <w:noProof/>
          <w:sz w:val="20"/>
          <w:szCs w:val="16"/>
          <w:lang w:val="en-US"/>
        </w:rPr>
        <w:t>European Council for an Energy Efficient Economy</w:t>
      </w:r>
      <w:r w:rsidRPr="00251C87">
        <w:rPr>
          <w:rFonts w:ascii="Calibri" w:hAnsi="Calibri" w:cs="Arial"/>
          <w:noProof/>
          <w:sz w:val="20"/>
          <w:szCs w:val="16"/>
          <w:lang w:val="en-US"/>
        </w:rPr>
        <w:t>2009.</w:t>
      </w:r>
      <w:bookmarkEnd w:id="126"/>
    </w:p>
    <w:p w:rsidR="00251C87" w:rsidRPr="00251C87" w:rsidRDefault="00251C87" w:rsidP="00251C87">
      <w:pPr>
        <w:spacing w:after="0" w:line="240" w:lineRule="auto"/>
        <w:ind w:left="720" w:hanging="720"/>
        <w:jc w:val="both"/>
        <w:rPr>
          <w:rFonts w:ascii="Calibri" w:hAnsi="Calibri" w:cs="Arial"/>
          <w:noProof/>
          <w:sz w:val="20"/>
          <w:szCs w:val="16"/>
        </w:rPr>
      </w:pPr>
      <w:bookmarkStart w:id="127" w:name="_ENREF_4"/>
      <w:r w:rsidRPr="00251C87">
        <w:rPr>
          <w:rFonts w:ascii="Calibri" w:hAnsi="Calibri" w:cs="Arial"/>
          <w:noProof/>
          <w:sz w:val="20"/>
          <w:szCs w:val="16"/>
        </w:rPr>
        <w:t>4.</w:t>
      </w:r>
      <w:r w:rsidRPr="00251C87">
        <w:rPr>
          <w:rFonts w:ascii="Calibri" w:hAnsi="Calibri" w:cs="Arial"/>
          <w:noProof/>
          <w:sz w:val="20"/>
          <w:szCs w:val="16"/>
        </w:rPr>
        <w:tab/>
      </w:r>
      <w:r w:rsidRPr="00251C87">
        <w:rPr>
          <w:rFonts w:ascii="Calibri" w:hAnsi="Calibri" w:cs="Arial"/>
          <w:i/>
          <w:noProof/>
          <w:sz w:val="20"/>
          <w:szCs w:val="16"/>
        </w:rPr>
        <w:t>Consejo Nacional de Población</w:t>
      </w:r>
      <w:r w:rsidRPr="00251C87">
        <w:rPr>
          <w:rFonts w:ascii="Calibri" w:hAnsi="Calibri" w:cs="Arial"/>
          <w:noProof/>
          <w:sz w:val="20"/>
          <w:szCs w:val="16"/>
        </w:rPr>
        <w:t xml:space="preserve">. Available from: </w:t>
      </w:r>
      <w:hyperlink r:id="rId23" w:history="1">
        <w:r w:rsidRPr="00251C87">
          <w:rPr>
            <w:rStyle w:val="Hipervnculo"/>
            <w:rFonts w:ascii="Calibri" w:hAnsi="Calibri" w:cs="Arial"/>
            <w:noProof/>
            <w:sz w:val="20"/>
            <w:szCs w:val="16"/>
          </w:rPr>
          <w:t>http://www.conapo.gob.mx/</w:t>
        </w:r>
      </w:hyperlink>
      <w:r w:rsidRPr="00251C87">
        <w:rPr>
          <w:rFonts w:ascii="Calibri" w:hAnsi="Calibri" w:cs="Arial"/>
          <w:noProof/>
          <w:sz w:val="20"/>
          <w:szCs w:val="16"/>
        </w:rPr>
        <w:t>.</w:t>
      </w:r>
      <w:bookmarkEnd w:id="127"/>
    </w:p>
    <w:p w:rsidR="00251C87" w:rsidRPr="00251C87" w:rsidRDefault="00251C87" w:rsidP="00251C87">
      <w:pPr>
        <w:spacing w:after="0" w:line="240" w:lineRule="auto"/>
        <w:ind w:left="720" w:hanging="720"/>
        <w:jc w:val="both"/>
        <w:rPr>
          <w:rFonts w:ascii="Calibri" w:hAnsi="Calibri" w:cs="Arial"/>
          <w:noProof/>
          <w:sz w:val="20"/>
          <w:szCs w:val="16"/>
        </w:rPr>
      </w:pPr>
      <w:bookmarkStart w:id="128" w:name="_ENREF_5"/>
      <w:r w:rsidRPr="00251C87">
        <w:rPr>
          <w:rFonts w:ascii="Calibri" w:hAnsi="Calibri" w:cs="Arial"/>
          <w:noProof/>
          <w:sz w:val="20"/>
          <w:szCs w:val="16"/>
        </w:rPr>
        <w:t>5.</w:t>
      </w:r>
      <w:r w:rsidRPr="00251C87">
        <w:rPr>
          <w:rFonts w:ascii="Calibri" w:hAnsi="Calibri" w:cs="Arial"/>
          <w:noProof/>
          <w:sz w:val="20"/>
          <w:szCs w:val="16"/>
        </w:rPr>
        <w:tab/>
      </w:r>
      <w:r w:rsidRPr="00251C87">
        <w:rPr>
          <w:rFonts w:ascii="Calibri" w:hAnsi="Calibri" w:cs="Arial"/>
          <w:i/>
          <w:noProof/>
          <w:sz w:val="20"/>
          <w:szCs w:val="16"/>
        </w:rPr>
        <w:t>La Salud en México: 2206/2012</w:t>
      </w:r>
      <w:r w:rsidRPr="00251C87">
        <w:rPr>
          <w:rFonts w:ascii="Calibri" w:hAnsi="Calibri" w:cs="Arial"/>
          <w:noProof/>
          <w:sz w:val="20"/>
          <w:szCs w:val="16"/>
        </w:rPr>
        <w:t xml:space="preserve">, 2012, Fundación Mexicana para la Salud </w:t>
      </w:r>
      <w:bookmarkEnd w:id="128"/>
    </w:p>
    <w:p w:rsidR="00251C87" w:rsidRPr="00251C87" w:rsidRDefault="00251C87" w:rsidP="00251C87">
      <w:pPr>
        <w:spacing w:after="0" w:line="240" w:lineRule="auto"/>
        <w:ind w:left="720" w:hanging="720"/>
        <w:jc w:val="both"/>
        <w:rPr>
          <w:rFonts w:ascii="Calibri" w:hAnsi="Calibri" w:cs="Arial"/>
          <w:noProof/>
          <w:sz w:val="20"/>
          <w:szCs w:val="16"/>
        </w:rPr>
      </w:pPr>
      <w:bookmarkStart w:id="129" w:name="_ENREF_6"/>
      <w:r w:rsidRPr="00251C87">
        <w:rPr>
          <w:rFonts w:ascii="Calibri" w:hAnsi="Calibri" w:cs="Arial"/>
          <w:noProof/>
          <w:sz w:val="20"/>
          <w:szCs w:val="16"/>
        </w:rPr>
        <w:t>6.</w:t>
      </w:r>
      <w:r w:rsidRPr="00251C87">
        <w:rPr>
          <w:rFonts w:ascii="Calibri" w:hAnsi="Calibri" w:cs="Arial"/>
          <w:noProof/>
          <w:sz w:val="20"/>
          <w:szCs w:val="16"/>
        </w:rPr>
        <w:tab/>
      </w:r>
      <w:r w:rsidRPr="00251C87">
        <w:rPr>
          <w:rFonts w:ascii="Calibri" w:hAnsi="Calibri" w:cs="Arial"/>
          <w:i/>
          <w:noProof/>
          <w:sz w:val="20"/>
          <w:szCs w:val="16"/>
        </w:rPr>
        <w:t>Los retos de vivienda en México</w:t>
      </w:r>
      <w:r w:rsidRPr="00251C87">
        <w:rPr>
          <w:rFonts w:ascii="Calibri" w:hAnsi="Calibri" w:cs="Arial"/>
          <w:noProof/>
          <w:sz w:val="20"/>
          <w:szCs w:val="16"/>
        </w:rPr>
        <w:t xml:space="preserve">, in </w:t>
      </w:r>
      <w:r w:rsidRPr="00251C87">
        <w:rPr>
          <w:rFonts w:ascii="Calibri" w:hAnsi="Calibri" w:cs="Arial"/>
          <w:i/>
          <w:noProof/>
          <w:sz w:val="20"/>
          <w:szCs w:val="16"/>
        </w:rPr>
        <w:t>El Universal</w:t>
      </w:r>
      <w:r w:rsidRPr="00251C87">
        <w:rPr>
          <w:rFonts w:ascii="Calibri" w:hAnsi="Calibri" w:cs="Arial"/>
          <w:noProof/>
          <w:sz w:val="20"/>
          <w:szCs w:val="16"/>
        </w:rPr>
        <w:t>2012.</w:t>
      </w:r>
      <w:bookmarkEnd w:id="129"/>
    </w:p>
    <w:p w:rsidR="00251C87" w:rsidRPr="00251C87" w:rsidRDefault="00251C87" w:rsidP="00251C87">
      <w:pPr>
        <w:spacing w:after="0" w:line="240" w:lineRule="auto"/>
        <w:ind w:left="720" w:hanging="720"/>
        <w:jc w:val="both"/>
        <w:rPr>
          <w:rFonts w:ascii="Calibri" w:hAnsi="Calibri" w:cs="Arial"/>
          <w:noProof/>
          <w:sz w:val="20"/>
          <w:szCs w:val="16"/>
        </w:rPr>
      </w:pPr>
      <w:bookmarkStart w:id="130" w:name="_ENREF_7"/>
      <w:r w:rsidRPr="00251C87">
        <w:rPr>
          <w:rFonts w:ascii="Calibri" w:hAnsi="Calibri" w:cs="Arial"/>
          <w:noProof/>
          <w:sz w:val="20"/>
          <w:szCs w:val="16"/>
        </w:rPr>
        <w:t>7.</w:t>
      </w:r>
      <w:r w:rsidRPr="00251C87">
        <w:rPr>
          <w:rFonts w:ascii="Calibri" w:hAnsi="Calibri" w:cs="Arial"/>
          <w:noProof/>
          <w:sz w:val="20"/>
          <w:szCs w:val="16"/>
        </w:rPr>
        <w:tab/>
        <w:t xml:space="preserve">SENER, </w:t>
      </w:r>
      <w:r w:rsidRPr="00251C87">
        <w:rPr>
          <w:rFonts w:ascii="Calibri" w:hAnsi="Calibri" w:cs="Arial"/>
          <w:i/>
          <w:noProof/>
          <w:sz w:val="20"/>
          <w:szCs w:val="16"/>
        </w:rPr>
        <w:t>México y el Banco Interamericano de Desarrollo apoyarán ideas qu impulsen la innovación en tecnologías energéticas sustentables.</w:t>
      </w:r>
      <w:r w:rsidRPr="00251C87">
        <w:rPr>
          <w:rFonts w:ascii="Calibri" w:hAnsi="Calibri" w:cs="Arial"/>
          <w:noProof/>
          <w:sz w:val="20"/>
          <w:szCs w:val="16"/>
        </w:rPr>
        <w:t>, 2010.</w:t>
      </w:r>
      <w:bookmarkEnd w:id="130"/>
    </w:p>
    <w:p w:rsidR="00251C87" w:rsidRPr="00251C87" w:rsidRDefault="00251C87" w:rsidP="00251C87">
      <w:pPr>
        <w:spacing w:after="0" w:line="240" w:lineRule="auto"/>
        <w:ind w:left="720" w:hanging="720"/>
        <w:jc w:val="both"/>
        <w:rPr>
          <w:rFonts w:ascii="Calibri" w:hAnsi="Calibri" w:cs="Arial"/>
          <w:noProof/>
          <w:sz w:val="20"/>
          <w:szCs w:val="16"/>
        </w:rPr>
      </w:pPr>
      <w:bookmarkStart w:id="131" w:name="_ENREF_8"/>
      <w:r w:rsidRPr="00251C87">
        <w:rPr>
          <w:rFonts w:ascii="Calibri" w:hAnsi="Calibri" w:cs="Arial"/>
          <w:noProof/>
          <w:sz w:val="20"/>
          <w:szCs w:val="16"/>
        </w:rPr>
        <w:t>8.</w:t>
      </w:r>
      <w:r w:rsidRPr="00251C87">
        <w:rPr>
          <w:rFonts w:ascii="Calibri" w:hAnsi="Calibri" w:cs="Arial"/>
          <w:noProof/>
          <w:sz w:val="20"/>
          <w:szCs w:val="16"/>
        </w:rPr>
        <w:tab/>
        <w:t xml:space="preserve">SENER. </w:t>
      </w:r>
      <w:r w:rsidRPr="00251C87">
        <w:rPr>
          <w:rFonts w:ascii="Calibri" w:hAnsi="Calibri" w:cs="Arial"/>
          <w:i/>
          <w:noProof/>
          <w:sz w:val="20"/>
          <w:szCs w:val="16"/>
        </w:rPr>
        <w:t>Sistema de Información Energética</w:t>
      </w:r>
      <w:r w:rsidRPr="00251C87">
        <w:rPr>
          <w:rFonts w:ascii="Calibri" w:hAnsi="Calibri" w:cs="Arial"/>
          <w:noProof/>
          <w:sz w:val="20"/>
          <w:szCs w:val="16"/>
        </w:rPr>
        <w:t xml:space="preserve">. Available from: </w:t>
      </w:r>
      <w:hyperlink r:id="rId24" w:history="1">
        <w:r w:rsidRPr="00251C87">
          <w:rPr>
            <w:rStyle w:val="Hipervnculo"/>
            <w:rFonts w:ascii="Calibri" w:hAnsi="Calibri" w:cs="Arial"/>
            <w:noProof/>
            <w:sz w:val="20"/>
            <w:szCs w:val="16"/>
          </w:rPr>
          <w:t>www.sie.energia.gob.mx</w:t>
        </w:r>
      </w:hyperlink>
      <w:r w:rsidRPr="00251C87">
        <w:rPr>
          <w:rFonts w:ascii="Calibri" w:hAnsi="Calibri" w:cs="Arial"/>
          <w:noProof/>
          <w:sz w:val="20"/>
          <w:szCs w:val="16"/>
        </w:rPr>
        <w:t>.</w:t>
      </w:r>
      <w:bookmarkEnd w:id="131"/>
    </w:p>
    <w:p w:rsidR="00251C87" w:rsidRPr="00251C87" w:rsidRDefault="00251C87" w:rsidP="00251C87">
      <w:pPr>
        <w:spacing w:after="0" w:line="240" w:lineRule="auto"/>
        <w:ind w:left="720" w:hanging="720"/>
        <w:jc w:val="both"/>
        <w:rPr>
          <w:rFonts w:ascii="Calibri" w:hAnsi="Calibri" w:cs="Arial"/>
          <w:noProof/>
          <w:sz w:val="20"/>
          <w:szCs w:val="16"/>
        </w:rPr>
      </w:pPr>
      <w:bookmarkStart w:id="132" w:name="_ENREF_9"/>
      <w:r w:rsidRPr="00251C87">
        <w:rPr>
          <w:rFonts w:ascii="Calibri" w:hAnsi="Calibri" w:cs="Arial"/>
          <w:noProof/>
          <w:sz w:val="20"/>
          <w:szCs w:val="16"/>
        </w:rPr>
        <w:t>9.</w:t>
      </w:r>
      <w:r w:rsidRPr="00251C87">
        <w:rPr>
          <w:rFonts w:ascii="Calibri" w:hAnsi="Calibri" w:cs="Arial"/>
          <w:noProof/>
          <w:sz w:val="20"/>
          <w:szCs w:val="16"/>
        </w:rPr>
        <w:tab/>
        <w:t xml:space="preserve">Johnson, T.M., et al., </w:t>
      </w:r>
      <w:r w:rsidRPr="00251C87">
        <w:rPr>
          <w:rFonts w:ascii="Calibri" w:hAnsi="Calibri" w:cs="Arial"/>
          <w:i/>
          <w:noProof/>
          <w:sz w:val="20"/>
          <w:szCs w:val="16"/>
        </w:rPr>
        <w:t>México: estudio sobre la disminución de emisiones de carbono</w:t>
      </w:r>
      <w:r w:rsidRPr="00251C87">
        <w:rPr>
          <w:rFonts w:ascii="Calibri" w:hAnsi="Calibri" w:cs="Arial"/>
          <w:noProof/>
          <w:sz w:val="20"/>
          <w:szCs w:val="16"/>
        </w:rPr>
        <w:t>, B. Mundial, Editor 2009.</w:t>
      </w:r>
      <w:bookmarkEnd w:id="132"/>
    </w:p>
    <w:p w:rsidR="00251C87" w:rsidRPr="00251C87" w:rsidRDefault="00251C87" w:rsidP="00251C87">
      <w:pPr>
        <w:spacing w:after="0" w:line="240" w:lineRule="auto"/>
        <w:ind w:left="720" w:hanging="720"/>
        <w:jc w:val="both"/>
        <w:rPr>
          <w:rFonts w:ascii="Calibri" w:hAnsi="Calibri" w:cs="Arial"/>
          <w:noProof/>
          <w:sz w:val="20"/>
          <w:szCs w:val="16"/>
        </w:rPr>
      </w:pPr>
      <w:bookmarkStart w:id="133" w:name="_ENREF_10"/>
      <w:r w:rsidRPr="00251C87">
        <w:rPr>
          <w:rFonts w:ascii="Calibri" w:hAnsi="Calibri" w:cs="Arial"/>
          <w:noProof/>
          <w:sz w:val="20"/>
          <w:szCs w:val="16"/>
        </w:rPr>
        <w:t>10.</w:t>
      </w:r>
      <w:r w:rsidRPr="00251C87">
        <w:rPr>
          <w:rFonts w:ascii="Calibri" w:hAnsi="Calibri" w:cs="Arial"/>
          <w:noProof/>
          <w:sz w:val="20"/>
          <w:szCs w:val="16"/>
        </w:rPr>
        <w:tab/>
      </w:r>
      <w:r w:rsidRPr="00251C87">
        <w:rPr>
          <w:rFonts w:ascii="Calibri" w:hAnsi="Calibri" w:cs="Arial"/>
          <w:i/>
          <w:noProof/>
          <w:sz w:val="20"/>
          <w:szCs w:val="16"/>
        </w:rPr>
        <w:t>México ante el cambio climático. Evidencias, Impactos, vulnerabilidad y adaptación.</w:t>
      </w:r>
      <w:r w:rsidRPr="00251C87">
        <w:rPr>
          <w:rFonts w:ascii="Calibri" w:hAnsi="Calibri" w:cs="Arial"/>
          <w:noProof/>
          <w:sz w:val="20"/>
          <w:szCs w:val="16"/>
        </w:rPr>
        <w:t>, Greenpeace, Editor 2010.</w:t>
      </w:r>
      <w:bookmarkEnd w:id="133"/>
    </w:p>
    <w:p w:rsidR="00251C87" w:rsidRPr="00251C87" w:rsidRDefault="00251C87" w:rsidP="00251C87">
      <w:pPr>
        <w:spacing w:after="0" w:line="240" w:lineRule="auto"/>
        <w:ind w:left="720" w:hanging="720"/>
        <w:jc w:val="both"/>
        <w:rPr>
          <w:rFonts w:ascii="Calibri" w:hAnsi="Calibri" w:cs="Arial"/>
          <w:noProof/>
          <w:sz w:val="20"/>
          <w:szCs w:val="16"/>
        </w:rPr>
      </w:pPr>
      <w:bookmarkStart w:id="134" w:name="_ENREF_11"/>
      <w:r w:rsidRPr="00251C87">
        <w:rPr>
          <w:rFonts w:ascii="Calibri" w:hAnsi="Calibri" w:cs="Arial"/>
          <w:noProof/>
          <w:sz w:val="20"/>
          <w:szCs w:val="16"/>
        </w:rPr>
        <w:t>11.</w:t>
      </w:r>
      <w:r w:rsidRPr="00251C87">
        <w:rPr>
          <w:rFonts w:ascii="Calibri" w:hAnsi="Calibri" w:cs="Arial"/>
          <w:noProof/>
          <w:sz w:val="20"/>
          <w:szCs w:val="16"/>
        </w:rPr>
        <w:tab/>
        <w:t xml:space="preserve">SEMARNAT, </w:t>
      </w:r>
      <w:r w:rsidRPr="00251C87">
        <w:rPr>
          <w:rFonts w:ascii="Calibri" w:hAnsi="Calibri" w:cs="Arial"/>
          <w:i/>
          <w:noProof/>
          <w:sz w:val="20"/>
          <w:szCs w:val="16"/>
        </w:rPr>
        <w:t xml:space="preserve">Informe de la situación ambiental en México </w:t>
      </w:r>
      <w:r w:rsidRPr="00251C87">
        <w:rPr>
          <w:rFonts w:ascii="Calibri" w:hAnsi="Calibri" w:cs="Arial"/>
          <w:noProof/>
          <w:sz w:val="20"/>
          <w:szCs w:val="16"/>
        </w:rPr>
        <w:t>2010.</w:t>
      </w:r>
      <w:bookmarkEnd w:id="134"/>
    </w:p>
    <w:p w:rsidR="00251C87" w:rsidRPr="00251C87" w:rsidRDefault="00251C87" w:rsidP="00251C87">
      <w:pPr>
        <w:spacing w:after="0" w:line="240" w:lineRule="auto"/>
        <w:ind w:left="720" w:hanging="720"/>
        <w:jc w:val="both"/>
        <w:rPr>
          <w:rFonts w:ascii="Calibri" w:hAnsi="Calibri" w:cs="Arial"/>
          <w:noProof/>
          <w:sz w:val="20"/>
          <w:szCs w:val="16"/>
          <w:lang w:val="en-US"/>
        </w:rPr>
      </w:pPr>
      <w:bookmarkStart w:id="135" w:name="_ENREF_12"/>
      <w:r w:rsidRPr="00251C87">
        <w:rPr>
          <w:rFonts w:ascii="Calibri" w:hAnsi="Calibri" w:cs="Arial"/>
          <w:noProof/>
          <w:sz w:val="20"/>
          <w:szCs w:val="16"/>
          <w:lang w:val="en-US"/>
        </w:rPr>
        <w:t>12.</w:t>
      </w:r>
      <w:r w:rsidRPr="00251C87">
        <w:rPr>
          <w:rFonts w:ascii="Calibri" w:hAnsi="Calibri" w:cs="Arial"/>
          <w:noProof/>
          <w:sz w:val="20"/>
          <w:szCs w:val="16"/>
          <w:lang w:val="en-US"/>
        </w:rPr>
        <w:tab/>
        <w:t xml:space="preserve">CIA. </w:t>
      </w:r>
      <w:r w:rsidRPr="00251C87">
        <w:rPr>
          <w:rFonts w:ascii="Calibri" w:hAnsi="Calibri" w:cs="Arial"/>
          <w:i/>
          <w:noProof/>
          <w:sz w:val="20"/>
          <w:szCs w:val="16"/>
          <w:lang w:val="en-US"/>
        </w:rPr>
        <w:t>CIA world factbook: Mexico</w:t>
      </w:r>
      <w:r w:rsidRPr="00251C87">
        <w:rPr>
          <w:rFonts w:ascii="Calibri" w:hAnsi="Calibri" w:cs="Arial"/>
          <w:noProof/>
          <w:sz w:val="20"/>
          <w:szCs w:val="16"/>
          <w:lang w:val="en-US"/>
        </w:rPr>
        <w:t>. 2012; Available from: https://</w:t>
      </w:r>
      <w:hyperlink r:id="rId25" w:history="1">
        <w:r w:rsidRPr="00251C87">
          <w:rPr>
            <w:rStyle w:val="Hipervnculo"/>
            <w:rFonts w:ascii="Calibri" w:hAnsi="Calibri" w:cs="Arial"/>
            <w:noProof/>
            <w:sz w:val="20"/>
            <w:szCs w:val="16"/>
            <w:lang w:val="en-US"/>
          </w:rPr>
          <w:t>www.cia.gov/library/publications/the-world-factbook/geos/mx.html</w:t>
        </w:r>
      </w:hyperlink>
      <w:r w:rsidRPr="00251C87">
        <w:rPr>
          <w:rFonts w:ascii="Calibri" w:hAnsi="Calibri" w:cs="Arial"/>
          <w:noProof/>
          <w:sz w:val="20"/>
          <w:szCs w:val="16"/>
          <w:lang w:val="en-US"/>
        </w:rPr>
        <w:t>.</w:t>
      </w:r>
      <w:bookmarkEnd w:id="135"/>
    </w:p>
    <w:p w:rsidR="00251C87" w:rsidRPr="00251C87" w:rsidRDefault="00251C87" w:rsidP="00251C87">
      <w:pPr>
        <w:spacing w:after="0" w:line="240" w:lineRule="auto"/>
        <w:ind w:left="720" w:hanging="720"/>
        <w:jc w:val="both"/>
        <w:rPr>
          <w:rFonts w:ascii="Calibri" w:hAnsi="Calibri" w:cs="Arial"/>
          <w:noProof/>
          <w:sz w:val="20"/>
          <w:szCs w:val="16"/>
        </w:rPr>
      </w:pPr>
      <w:bookmarkStart w:id="136" w:name="_ENREF_13"/>
      <w:r w:rsidRPr="00251C87">
        <w:rPr>
          <w:rFonts w:ascii="Calibri" w:hAnsi="Calibri" w:cs="Arial"/>
          <w:noProof/>
          <w:sz w:val="20"/>
          <w:szCs w:val="16"/>
        </w:rPr>
        <w:t>13.</w:t>
      </w:r>
      <w:r w:rsidRPr="00251C87">
        <w:rPr>
          <w:rFonts w:ascii="Calibri" w:hAnsi="Calibri" w:cs="Arial"/>
          <w:noProof/>
          <w:sz w:val="20"/>
          <w:szCs w:val="16"/>
        </w:rPr>
        <w:tab/>
        <w:t xml:space="preserve">SEMARNAT, INFONAVIT, and CONAVI, </w:t>
      </w:r>
      <w:r w:rsidRPr="00251C87">
        <w:rPr>
          <w:rFonts w:ascii="Calibri" w:hAnsi="Calibri" w:cs="Arial"/>
          <w:i/>
          <w:noProof/>
          <w:sz w:val="20"/>
          <w:szCs w:val="16"/>
        </w:rPr>
        <w:t>Vivienda Sustentable en México</w:t>
      </w:r>
      <w:r w:rsidRPr="00251C87">
        <w:rPr>
          <w:rFonts w:ascii="Calibri" w:hAnsi="Calibri" w:cs="Arial"/>
          <w:noProof/>
          <w:sz w:val="20"/>
          <w:szCs w:val="16"/>
        </w:rPr>
        <w:t>, 2011: México DF.</w:t>
      </w:r>
      <w:bookmarkEnd w:id="136"/>
    </w:p>
    <w:p w:rsidR="00251C87" w:rsidRPr="00251C87" w:rsidRDefault="00251C87" w:rsidP="00251C87">
      <w:pPr>
        <w:spacing w:after="0" w:line="240" w:lineRule="auto"/>
        <w:ind w:left="720" w:hanging="720"/>
        <w:jc w:val="both"/>
        <w:rPr>
          <w:rFonts w:ascii="Calibri" w:hAnsi="Calibri" w:cs="Arial"/>
          <w:noProof/>
          <w:sz w:val="20"/>
          <w:szCs w:val="16"/>
        </w:rPr>
      </w:pPr>
      <w:bookmarkStart w:id="137" w:name="_ENREF_14"/>
      <w:r w:rsidRPr="00251C87">
        <w:rPr>
          <w:rFonts w:ascii="Calibri" w:hAnsi="Calibri" w:cs="Arial"/>
          <w:noProof/>
          <w:sz w:val="20"/>
          <w:szCs w:val="16"/>
        </w:rPr>
        <w:t>14.</w:t>
      </w:r>
      <w:r w:rsidRPr="00251C87">
        <w:rPr>
          <w:rFonts w:ascii="Calibri" w:hAnsi="Calibri" w:cs="Arial"/>
          <w:noProof/>
          <w:sz w:val="20"/>
          <w:szCs w:val="16"/>
        </w:rPr>
        <w:tab/>
      </w:r>
      <w:r w:rsidRPr="00251C87">
        <w:rPr>
          <w:rFonts w:ascii="Calibri" w:hAnsi="Calibri" w:cs="Arial"/>
          <w:i/>
          <w:noProof/>
          <w:sz w:val="20"/>
          <w:szCs w:val="16"/>
        </w:rPr>
        <w:t>Política Nacional de Vivienda</w:t>
      </w:r>
      <w:r w:rsidRPr="00251C87">
        <w:rPr>
          <w:rFonts w:ascii="Calibri" w:hAnsi="Calibri" w:cs="Arial"/>
          <w:noProof/>
          <w:sz w:val="20"/>
          <w:szCs w:val="16"/>
        </w:rPr>
        <w:t>, P.d.l. República, Editor 2013.</w:t>
      </w:r>
      <w:bookmarkEnd w:id="137"/>
    </w:p>
    <w:p w:rsidR="00251C87" w:rsidRPr="00251C87" w:rsidRDefault="00251C87" w:rsidP="00251C87">
      <w:pPr>
        <w:spacing w:after="0" w:line="240" w:lineRule="auto"/>
        <w:ind w:left="720" w:hanging="720"/>
        <w:jc w:val="both"/>
        <w:rPr>
          <w:rFonts w:ascii="Calibri" w:hAnsi="Calibri" w:cs="Arial"/>
          <w:noProof/>
          <w:sz w:val="20"/>
          <w:szCs w:val="16"/>
        </w:rPr>
      </w:pPr>
      <w:bookmarkStart w:id="138" w:name="_ENREF_15"/>
      <w:r w:rsidRPr="00251C87">
        <w:rPr>
          <w:rFonts w:ascii="Calibri" w:hAnsi="Calibri" w:cs="Arial"/>
          <w:noProof/>
          <w:sz w:val="20"/>
          <w:szCs w:val="16"/>
        </w:rPr>
        <w:t>15.</w:t>
      </w:r>
      <w:r w:rsidRPr="00251C87">
        <w:rPr>
          <w:rFonts w:ascii="Calibri" w:hAnsi="Calibri" w:cs="Arial"/>
          <w:noProof/>
          <w:sz w:val="20"/>
          <w:szCs w:val="16"/>
        </w:rPr>
        <w:tab/>
      </w:r>
      <w:r w:rsidRPr="00251C87">
        <w:rPr>
          <w:rFonts w:ascii="Calibri" w:hAnsi="Calibri" w:cs="Arial"/>
          <w:i/>
          <w:noProof/>
          <w:sz w:val="20"/>
          <w:szCs w:val="16"/>
        </w:rPr>
        <w:t>Ley para el aprovechamiento de las energías renovables y el financiamiento de la transición energética</w:t>
      </w:r>
      <w:r w:rsidRPr="00251C87">
        <w:rPr>
          <w:rFonts w:ascii="Calibri" w:hAnsi="Calibri" w:cs="Arial"/>
          <w:noProof/>
          <w:sz w:val="20"/>
          <w:szCs w:val="16"/>
        </w:rPr>
        <w:t>, 2011.</w:t>
      </w:r>
      <w:bookmarkEnd w:id="138"/>
    </w:p>
    <w:p w:rsidR="00251C87" w:rsidRPr="00251C87" w:rsidRDefault="00251C87" w:rsidP="00251C87">
      <w:pPr>
        <w:spacing w:after="0" w:line="240" w:lineRule="auto"/>
        <w:ind w:left="720" w:hanging="720"/>
        <w:jc w:val="both"/>
        <w:rPr>
          <w:rFonts w:ascii="Calibri" w:hAnsi="Calibri" w:cs="Arial"/>
          <w:noProof/>
          <w:sz w:val="20"/>
          <w:szCs w:val="16"/>
        </w:rPr>
      </w:pPr>
      <w:bookmarkStart w:id="139" w:name="_ENREF_16"/>
      <w:r w:rsidRPr="00251C87">
        <w:rPr>
          <w:rFonts w:ascii="Calibri" w:hAnsi="Calibri" w:cs="Arial"/>
          <w:noProof/>
          <w:sz w:val="20"/>
          <w:szCs w:val="16"/>
        </w:rPr>
        <w:t>16.</w:t>
      </w:r>
      <w:r w:rsidRPr="00251C87">
        <w:rPr>
          <w:rFonts w:ascii="Calibri" w:hAnsi="Calibri" w:cs="Arial"/>
          <w:noProof/>
          <w:sz w:val="20"/>
          <w:szCs w:val="16"/>
        </w:rPr>
        <w:tab/>
      </w:r>
      <w:r w:rsidRPr="00251C87">
        <w:rPr>
          <w:rFonts w:ascii="Calibri" w:hAnsi="Calibri" w:cs="Arial"/>
          <w:i/>
          <w:noProof/>
          <w:sz w:val="20"/>
          <w:szCs w:val="16"/>
        </w:rPr>
        <w:t>Pacto por México.</w:t>
      </w:r>
      <w:r w:rsidRPr="00251C87">
        <w:rPr>
          <w:rFonts w:ascii="Calibri" w:hAnsi="Calibri" w:cs="Arial"/>
          <w:noProof/>
          <w:sz w:val="20"/>
          <w:szCs w:val="16"/>
        </w:rPr>
        <w:t xml:space="preserve"> 2012.</w:t>
      </w:r>
      <w:bookmarkEnd w:id="139"/>
    </w:p>
    <w:p w:rsidR="00251C87" w:rsidRPr="00251C87" w:rsidRDefault="00251C87" w:rsidP="00251C87">
      <w:pPr>
        <w:spacing w:after="0" w:line="240" w:lineRule="auto"/>
        <w:ind w:left="720" w:hanging="720"/>
        <w:jc w:val="both"/>
        <w:rPr>
          <w:rFonts w:ascii="Calibri" w:hAnsi="Calibri" w:cs="Arial"/>
          <w:noProof/>
          <w:sz w:val="20"/>
          <w:szCs w:val="16"/>
        </w:rPr>
      </w:pPr>
      <w:bookmarkStart w:id="140" w:name="_ENREF_17"/>
      <w:r w:rsidRPr="00251C87">
        <w:rPr>
          <w:rFonts w:ascii="Calibri" w:hAnsi="Calibri" w:cs="Arial"/>
          <w:noProof/>
          <w:sz w:val="20"/>
          <w:szCs w:val="16"/>
        </w:rPr>
        <w:t>17.</w:t>
      </w:r>
      <w:r w:rsidRPr="00251C87">
        <w:rPr>
          <w:rFonts w:ascii="Calibri" w:hAnsi="Calibri" w:cs="Arial"/>
          <w:noProof/>
          <w:sz w:val="20"/>
          <w:szCs w:val="16"/>
        </w:rPr>
        <w:tab/>
        <w:t xml:space="preserve">AEAEE, </w:t>
      </w:r>
      <w:r w:rsidRPr="00251C87">
        <w:rPr>
          <w:rFonts w:ascii="Calibri" w:hAnsi="Calibri" w:cs="Arial"/>
          <w:i/>
          <w:noProof/>
          <w:sz w:val="20"/>
          <w:szCs w:val="16"/>
        </w:rPr>
        <w:t>Ahorro de Energía en la Edificación en México</w:t>
      </w:r>
      <w:r w:rsidRPr="00251C87">
        <w:rPr>
          <w:rFonts w:ascii="Calibri" w:hAnsi="Calibri" w:cs="Arial"/>
          <w:noProof/>
          <w:sz w:val="20"/>
          <w:szCs w:val="16"/>
        </w:rPr>
        <w:t>, 2008, Asociación de Empresas para el Ahorro de Energía en la Edificación,. p. 20.</w:t>
      </w:r>
      <w:bookmarkEnd w:id="140"/>
    </w:p>
    <w:p w:rsidR="00251C87" w:rsidRPr="00251C87" w:rsidRDefault="00251C87" w:rsidP="00251C87">
      <w:pPr>
        <w:spacing w:after="0" w:line="240" w:lineRule="auto"/>
        <w:ind w:left="720" w:hanging="720"/>
        <w:jc w:val="both"/>
        <w:rPr>
          <w:rFonts w:ascii="Calibri" w:hAnsi="Calibri" w:cs="Arial"/>
          <w:noProof/>
          <w:sz w:val="20"/>
          <w:szCs w:val="16"/>
        </w:rPr>
      </w:pPr>
      <w:bookmarkStart w:id="141" w:name="_ENREF_18"/>
      <w:r w:rsidRPr="00251C87">
        <w:rPr>
          <w:rFonts w:ascii="Calibri" w:hAnsi="Calibri" w:cs="Arial"/>
          <w:noProof/>
          <w:sz w:val="20"/>
          <w:szCs w:val="16"/>
        </w:rPr>
        <w:t>18.</w:t>
      </w:r>
      <w:r w:rsidRPr="00251C87">
        <w:rPr>
          <w:rFonts w:ascii="Calibri" w:hAnsi="Calibri" w:cs="Arial"/>
          <w:noProof/>
          <w:sz w:val="20"/>
          <w:szCs w:val="16"/>
        </w:rPr>
        <w:tab/>
      </w:r>
      <w:r w:rsidRPr="00251C87">
        <w:rPr>
          <w:rFonts w:ascii="Calibri" w:hAnsi="Calibri" w:cs="Arial"/>
          <w:i/>
          <w:noProof/>
          <w:sz w:val="20"/>
          <w:szCs w:val="16"/>
        </w:rPr>
        <w:t>Programa Nacional de Salud 2007-2012. Por un México sano: construyendo alianzas para una mejor salud</w:t>
      </w:r>
      <w:r w:rsidRPr="00251C87">
        <w:rPr>
          <w:rFonts w:ascii="Calibri" w:hAnsi="Calibri" w:cs="Arial"/>
          <w:noProof/>
          <w:sz w:val="20"/>
          <w:szCs w:val="16"/>
        </w:rPr>
        <w:t>, S.d. Salud, Editor 2007.</w:t>
      </w:r>
      <w:bookmarkEnd w:id="141"/>
    </w:p>
    <w:p w:rsidR="00251C87" w:rsidRPr="00251C87" w:rsidRDefault="00251C87" w:rsidP="00251C87">
      <w:pPr>
        <w:spacing w:after="0" w:line="240" w:lineRule="auto"/>
        <w:ind w:left="720" w:hanging="720"/>
        <w:jc w:val="both"/>
        <w:rPr>
          <w:rFonts w:ascii="Calibri" w:hAnsi="Calibri" w:cs="Arial"/>
          <w:noProof/>
          <w:sz w:val="20"/>
          <w:szCs w:val="16"/>
        </w:rPr>
      </w:pPr>
      <w:bookmarkStart w:id="142" w:name="_ENREF_19"/>
      <w:r w:rsidRPr="00251C87">
        <w:rPr>
          <w:rFonts w:ascii="Calibri" w:hAnsi="Calibri" w:cs="Arial"/>
          <w:noProof/>
          <w:sz w:val="20"/>
          <w:szCs w:val="16"/>
        </w:rPr>
        <w:t>19.</w:t>
      </w:r>
      <w:r w:rsidRPr="00251C87">
        <w:rPr>
          <w:rFonts w:ascii="Calibri" w:hAnsi="Calibri" w:cs="Arial"/>
          <w:noProof/>
          <w:sz w:val="20"/>
          <w:szCs w:val="16"/>
        </w:rPr>
        <w:tab/>
        <w:t xml:space="preserve">INEGI, </w:t>
      </w:r>
      <w:r w:rsidRPr="00251C87">
        <w:rPr>
          <w:rFonts w:ascii="Calibri" w:hAnsi="Calibri" w:cs="Arial"/>
          <w:i/>
          <w:noProof/>
          <w:sz w:val="20"/>
          <w:szCs w:val="16"/>
        </w:rPr>
        <w:t>Censo de Población y Vivienda 2010</w:t>
      </w:r>
      <w:r w:rsidRPr="00251C87">
        <w:rPr>
          <w:rFonts w:ascii="Calibri" w:hAnsi="Calibri" w:cs="Arial"/>
          <w:noProof/>
          <w:sz w:val="20"/>
          <w:szCs w:val="16"/>
        </w:rPr>
        <w:t>, 2011: Aguascalientes, México.</w:t>
      </w:r>
      <w:bookmarkEnd w:id="142"/>
    </w:p>
    <w:p w:rsidR="00251C87" w:rsidRPr="00251C87" w:rsidRDefault="00251C87" w:rsidP="00251C87">
      <w:pPr>
        <w:spacing w:after="0" w:line="240" w:lineRule="auto"/>
        <w:ind w:left="720" w:hanging="720"/>
        <w:jc w:val="both"/>
        <w:rPr>
          <w:rFonts w:ascii="Calibri" w:hAnsi="Calibri" w:cs="Arial"/>
          <w:i/>
          <w:noProof/>
          <w:sz w:val="20"/>
          <w:szCs w:val="16"/>
        </w:rPr>
      </w:pPr>
      <w:bookmarkStart w:id="143" w:name="_ENREF_20"/>
      <w:r w:rsidRPr="00251C87">
        <w:rPr>
          <w:rFonts w:ascii="Calibri" w:hAnsi="Calibri" w:cs="Arial"/>
          <w:noProof/>
          <w:sz w:val="20"/>
          <w:szCs w:val="16"/>
        </w:rPr>
        <w:t>20.</w:t>
      </w:r>
      <w:r w:rsidRPr="00251C87">
        <w:rPr>
          <w:rFonts w:ascii="Calibri" w:hAnsi="Calibri" w:cs="Arial"/>
          <w:noProof/>
          <w:sz w:val="20"/>
          <w:szCs w:val="16"/>
        </w:rPr>
        <w:tab/>
        <w:t xml:space="preserve">CFE, </w:t>
      </w:r>
      <w:r w:rsidRPr="00251C87">
        <w:rPr>
          <w:rFonts w:ascii="Calibri" w:hAnsi="Calibri" w:cs="Arial"/>
          <w:i/>
          <w:noProof/>
          <w:sz w:val="20"/>
          <w:szCs w:val="16"/>
        </w:rPr>
        <w:t xml:space="preserve">Estadísticas de Venta de la CFE </w:t>
      </w:r>
      <w:bookmarkEnd w:id="143"/>
    </w:p>
    <w:p w:rsidR="00251C87" w:rsidRPr="00251C87" w:rsidRDefault="00251C87" w:rsidP="00251C87">
      <w:pPr>
        <w:spacing w:after="0" w:line="240" w:lineRule="auto"/>
        <w:ind w:left="720" w:hanging="720"/>
        <w:jc w:val="both"/>
        <w:rPr>
          <w:rFonts w:ascii="Calibri" w:hAnsi="Calibri" w:cs="Arial"/>
          <w:noProof/>
          <w:sz w:val="20"/>
          <w:szCs w:val="16"/>
        </w:rPr>
      </w:pPr>
      <w:bookmarkStart w:id="144" w:name="_ENREF_21"/>
      <w:r w:rsidRPr="00251C87">
        <w:rPr>
          <w:rFonts w:ascii="Calibri" w:hAnsi="Calibri" w:cs="Arial"/>
          <w:noProof/>
          <w:sz w:val="20"/>
          <w:szCs w:val="16"/>
        </w:rPr>
        <w:t>21.</w:t>
      </w:r>
      <w:r w:rsidRPr="00251C87">
        <w:rPr>
          <w:rFonts w:ascii="Calibri" w:hAnsi="Calibri" w:cs="Arial"/>
          <w:noProof/>
          <w:sz w:val="20"/>
          <w:szCs w:val="16"/>
        </w:rPr>
        <w:tab/>
      </w:r>
      <w:r w:rsidRPr="00251C87">
        <w:rPr>
          <w:rFonts w:ascii="Calibri" w:hAnsi="Calibri" w:cs="Arial"/>
          <w:i/>
          <w:noProof/>
          <w:sz w:val="20"/>
          <w:szCs w:val="16"/>
        </w:rPr>
        <w:t xml:space="preserve">Encuesta Nacional de Ingresos y Gastos de los Hogares (ENIGH) </w:t>
      </w:r>
      <w:r w:rsidRPr="00251C87">
        <w:rPr>
          <w:rFonts w:ascii="Calibri" w:hAnsi="Calibri" w:cs="Arial"/>
          <w:noProof/>
          <w:sz w:val="20"/>
          <w:szCs w:val="16"/>
        </w:rPr>
        <w:t>INEGI, Editor 2010.</w:t>
      </w:r>
      <w:bookmarkEnd w:id="144"/>
    </w:p>
    <w:p w:rsidR="00251C87" w:rsidRPr="00251C87" w:rsidRDefault="00251C87" w:rsidP="00251C87">
      <w:pPr>
        <w:spacing w:after="0" w:line="240" w:lineRule="auto"/>
        <w:ind w:left="720" w:hanging="720"/>
        <w:jc w:val="both"/>
        <w:rPr>
          <w:rFonts w:ascii="Calibri" w:hAnsi="Calibri" w:cs="Arial"/>
          <w:noProof/>
          <w:sz w:val="20"/>
          <w:szCs w:val="16"/>
        </w:rPr>
      </w:pPr>
      <w:bookmarkStart w:id="145" w:name="_ENREF_22"/>
      <w:r w:rsidRPr="00251C87">
        <w:rPr>
          <w:rFonts w:ascii="Calibri" w:hAnsi="Calibri" w:cs="Arial"/>
          <w:noProof/>
          <w:sz w:val="20"/>
          <w:szCs w:val="16"/>
        </w:rPr>
        <w:t>22.</w:t>
      </w:r>
      <w:r w:rsidRPr="00251C87">
        <w:rPr>
          <w:rFonts w:ascii="Calibri" w:hAnsi="Calibri" w:cs="Arial"/>
          <w:noProof/>
          <w:sz w:val="20"/>
          <w:szCs w:val="16"/>
        </w:rPr>
        <w:tab/>
      </w:r>
      <w:r w:rsidRPr="00251C87">
        <w:rPr>
          <w:rFonts w:ascii="Calibri" w:hAnsi="Calibri" w:cs="Arial"/>
          <w:i/>
          <w:noProof/>
          <w:sz w:val="20"/>
          <w:szCs w:val="16"/>
        </w:rPr>
        <w:t xml:space="preserve">Encuesta Nacional de Ingresos y Gastos de los Hogares (ENIGH) </w:t>
      </w:r>
      <w:r w:rsidRPr="00251C87">
        <w:rPr>
          <w:rFonts w:ascii="Calibri" w:hAnsi="Calibri" w:cs="Arial"/>
          <w:noProof/>
          <w:sz w:val="20"/>
          <w:szCs w:val="16"/>
        </w:rPr>
        <w:t>INEGI, Editor 2006.</w:t>
      </w:r>
      <w:bookmarkEnd w:id="145"/>
    </w:p>
    <w:p w:rsidR="00251C87" w:rsidRPr="00251C87" w:rsidRDefault="00251C87" w:rsidP="00251C87">
      <w:pPr>
        <w:spacing w:after="0" w:line="240" w:lineRule="auto"/>
        <w:ind w:left="720" w:hanging="720"/>
        <w:jc w:val="both"/>
        <w:rPr>
          <w:rFonts w:ascii="Calibri" w:hAnsi="Calibri" w:cs="Arial"/>
          <w:noProof/>
          <w:sz w:val="20"/>
          <w:szCs w:val="16"/>
        </w:rPr>
      </w:pPr>
      <w:bookmarkStart w:id="146" w:name="_ENREF_23"/>
      <w:r w:rsidRPr="00251C87">
        <w:rPr>
          <w:rFonts w:ascii="Calibri" w:hAnsi="Calibri" w:cs="Arial"/>
          <w:noProof/>
          <w:sz w:val="20"/>
          <w:szCs w:val="16"/>
        </w:rPr>
        <w:t>23.</w:t>
      </w:r>
      <w:r w:rsidRPr="00251C87">
        <w:rPr>
          <w:rFonts w:ascii="Calibri" w:hAnsi="Calibri" w:cs="Arial"/>
          <w:noProof/>
          <w:sz w:val="20"/>
          <w:szCs w:val="16"/>
        </w:rPr>
        <w:tab/>
      </w:r>
      <w:r w:rsidRPr="00251C87">
        <w:rPr>
          <w:rFonts w:ascii="Calibri" w:hAnsi="Calibri" w:cs="Arial"/>
          <w:i/>
          <w:noProof/>
          <w:sz w:val="20"/>
          <w:szCs w:val="16"/>
        </w:rPr>
        <w:t xml:space="preserve">Encuesta Nacional de Ingreso Gasto de los Hogares </w:t>
      </w:r>
      <w:r w:rsidRPr="00251C87">
        <w:rPr>
          <w:rFonts w:ascii="Calibri" w:hAnsi="Calibri" w:cs="Arial"/>
          <w:noProof/>
          <w:sz w:val="20"/>
          <w:szCs w:val="16"/>
        </w:rPr>
        <w:t>INEGI, Editor 2004.</w:t>
      </w:r>
      <w:bookmarkEnd w:id="146"/>
    </w:p>
    <w:p w:rsidR="00251C87" w:rsidRPr="00251C87" w:rsidRDefault="00251C87" w:rsidP="00251C87">
      <w:pPr>
        <w:spacing w:after="0" w:line="240" w:lineRule="auto"/>
        <w:ind w:left="720" w:hanging="720"/>
        <w:jc w:val="both"/>
        <w:rPr>
          <w:rFonts w:ascii="Calibri" w:hAnsi="Calibri" w:cs="Arial"/>
          <w:noProof/>
          <w:sz w:val="20"/>
          <w:szCs w:val="16"/>
        </w:rPr>
      </w:pPr>
      <w:bookmarkStart w:id="147" w:name="_ENREF_24"/>
      <w:r w:rsidRPr="00251C87">
        <w:rPr>
          <w:rFonts w:ascii="Calibri" w:hAnsi="Calibri" w:cs="Arial"/>
          <w:noProof/>
          <w:sz w:val="20"/>
          <w:szCs w:val="16"/>
        </w:rPr>
        <w:t>24.</w:t>
      </w:r>
      <w:r w:rsidRPr="00251C87">
        <w:rPr>
          <w:rFonts w:ascii="Calibri" w:hAnsi="Calibri" w:cs="Arial"/>
          <w:noProof/>
          <w:sz w:val="20"/>
          <w:szCs w:val="16"/>
        </w:rPr>
        <w:tab/>
      </w:r>
      <w:r w:rsidRPr="00251C87">
        <w:rPr>
          <w:rFonts w:ascii="Calibri" w:hAnsi="Calibri" w:cs="Arial"/>
          <w:i/>
          <w:noProof/>
          <w:sz w:val="20"/>
          <w:szCs w:val="16"/>
        </w:rPr>
        <w:t>Uso eficiente de la energía en la vivienda</w:t>
      </w:r>
      <w:r w:rsidRPr="00251C87">
        <w:rPr>
          <w:rFonts w:ascii="Calibri" w:hAnsi="Calibri" w:cs="Arial"/>
          <w:noProof/>
          <w:sz w:val="20"/>
          <w:szCs w:val="16"/>
        </w:rPr>
        <w:t>, 2006.</w:t>
      </w:r>
      <w:bookmarkEnd w:id="147"/>
    </w:p>
    <w:p w:rsidR="00251C87" w:rsidRPr="00251C87" w:rsidRDefault="00251C87" w:rsidP="00251C87">
      <w:pPr>
        <w:spacing w:after="0" w:line="240" w:lineRule="auto"/>
        <w:ind w:left="720" w:hanging="720"/>
        <w:jc w:val="both"/>
        <w:rPr>
          <w:rFonts w:ascii="Calibri" w:hAnsi="Calibri" w:cs="Arial"/>
          <w:noProof/>
          <w:sz w:val="20"/>
          <w:szCs w:val="16"/>
        </w:rPr>
      </w:pPr>
      <w:bookmarkStart w:id="148" w:name="_ENREF_25"/>
      <w:r w:rsidRPr="00251C87">
        <w:rPr>
          <w:rFonts w:ascii="Calibri" w:hAnsi="Calibri" w:cs="Arial"/>
          <w:noProof/>
          <w:sz w:val="20"/>
          <w:szCs w:val="16"/>
        </w:rPr>
        <w:t>25.</w:t>
      </w:r>
      <w:r w:rsidRPr="00251C87">
        <w:rPr>
          <w:rFonts w:ascii="Calibri" w:hAnsi="Calibri" w:cs="Arial"/>
          <w:noProof/>
          <w:sz w:val="20"/>
          <w:szCs w:val="16"/>
        </w:rPr>
        <w:tab/>
        <w:t xml:space="preserve">PROFECO. </w:t>
      </w:r>
      <w:r w:rsidRPr="00251C87">
        <w:rPr>
          <w:rFonts w:ascii="Calibri" w:hAnsi="Calibri" w:cs="Arial"/>
          <w:i/>
          <w:noProof/>
          <w:sz w:val="20"/>
          <w:szCs w:val="16"/>
        </w:rPr>
        <w:t>Procuraduría Federal del Consumidor</w:t>
      </w:r>
      <w:r w:rsidRPr="00251C87">
        <w:rPr>
          <w:rFonts w:ascii="Calibri" w:hAnsi="Calibri" w:cs="Arial"/>
          <w:noProof/>
          <w:sz w:val="20"/>
          <w:szCs w:val="16"/>
        </w:rPr>
        <w:t xml:space="preserve">. Available from: </w:t>
      </w:r>
      <w:hyperlink r:id="rId26" w:history="1">
        <w:r w:rsidRPr="00251C87">
          <w:rPr>
            <w:rStyle w:val="Hipervnculo"/>
            <w:rFonts w:ascii="Calibri" w:hAnsi="Calibri" w:cs="Arial"/>
            <w:noProof/>
            <w:sz w:val="20"/>
            <w:szCs w:val="16"/>
          </w:rPr>
          <w:t>http://www.profeco.gob.mx/</w:t>
        </w:r>
      </w:hyperlink>
      <w:r w:rsidRPr="00251C87">
        <w:rPr>
          <w:rFonts w:ascii="Calibri" w:hAnsi="Calibri" w:cs="Arial"/>
          <w:noProof/>
          <w:sz w:val="20"/>
          <w:szCs w:val="16"/>
        </w:rPr>
        <w:t>.</w:t>
      </w:r>
      <w:bookmarkEnd w:id="148"/>
    </w:p>
    <w:p w:rsidR="00251C87" w:rsidRPr="00251C87" w:rsidRDefault="00251C87" w:rsidP="00251C87">
      <w:pPr>
        <w:spacing w:after="0" w:line="240" w:lineRule="auto"/>
        <w:ind w:left="720" w:hanging="720"/>
        <w:jc w:val="both"/>
        <w:rPr>
          <w:rFonts w:ascii="Calibri" w:hAnsi="Calibri" w:cs="Arial"/>
          <w:noProof/>
          <w:sz w:val="20"/>
          <w:szCs w:val="16"/>
        </w:rPr>
      </w:pPr>
      <w:bookmarkStart w:id="149" w:name="_ENREF_26"/>
      <w:r w:rsidRPr="00251C87">
        <w:rPr>
          <w:rFonts w:ascii="Calibri" w:hAnsi="Calibri" w:cs="Arial"/>
          <w:noProof/>
          <w:sz w:val="20"/>
          <w:szCs w:val="16"/>
        </w:rPr>
        <w:t>26.</w:t>
      </w:r>
      <w:r w:rsidRPr="00251C87">
        <w:rPr>
          <w:rFonts w:ascii="Calibri" w:hAnsi="Calibri" w:cs="Arial"/>
          <w:noProof/>
          <w:sz w:val="20"/>
          <w:szCs w:val="16"/>
        </w:rPr>
        <w:tab/>
        <w:t xml:space="preserve">Sener. </w:t>
      </w:r>
      <w:r w:rsidRPr="00251C87">
        <w:rPr>
          <w:rFonts w:ascii="Calibri" w:hAnsi="Calibri" w:cs="Arial"/>
          <w:i/>
          <w:noProof/>
          <w:sz w:val="20"/>
          <w:szCs w:val="16"/>
        </w:rPr>
        <w:t>Sistema de Información Estadística</w:t>
      </w:r>
      <w:r w:rsidRPr="00251C87">
        <w:rPr>
          <w:rFonts w:ascii="Calibri" w:hAnsi="Calibri" w:cs="Arial"/>
          <w:noProof/>
          <w:sz w:val="20"/>
          <w:szCs w:val="16"/>
        </w:rPr>
        <w:t xml:space="preserve">. 2011  [cited 2011 15 de marzo]; Available from: </w:t>
      </w:r>
      <w:hyperlink r:id="rId27" w:history="1">
        <w:r w:rsidRPr="00251C87">
          <w:rPr>
            <w:rStyle w:val="Hipervnculo"/>
            <w:rFonts w:ascii="Calibri" w:hAnsi="Calibri" w:cs="Arial"/>
            <w:noProof/>
            <w:sz w:val="20"/>
            <w:szCs w:val="16"/>
          </w:rPr>
          <w:t>http://sie.energia.gob.mx/sie/bdiController?action=login</w:t>
        </w:r>
      </w:hyperlink>
      <w:r w:rsidRPr="00251C87">
        <w:rPr>
          <w:rFonts w:ascii="Calibri" w:hAnsi="Calibri" w:cs="Arial"/>
          <w:noProof/>
          <w:sz w:val="20"/>
          <w:szCs w:val="16"/>
        </w:rPr>
        <w:t>.</w:t>
      </w:r>
      <w:bookmarkEnd w:id="149"/>
    </w:p>
    <w:p w:rsidR="00251C87" w:rsidRPr="00251C87" w:rsidRDefault="00251C87" w:rsidP="00251C87">
      <w:pPr>
        <w:spacing w:after="0" w:line="240" w:lineRule="auto"/>
        <w:ind w:left="720" w:hanging="720"/>
        <w:jc w:val="both"/>
        <w:rPr>
          <w:rFonts w:ascii="Calibri" w:hAnsi="Calibri" w:cs="Arial"/>
          <w:noProof/>
          <w:sz w:val="20"/>
          <w:szCs w:val="16"/>
        </w:rPr>
      </w:pPr>
      <w:bookmarkStart w:id="150" w:name="_ENREF_27"/>
      <w:r w:rsidRPr="00251C87">
        <w:rPr>
          <w:rFonts w:ascii="Calibri" w:hAnsi="Calibri" w:cs="Arial"/>
          <w:noProof/>
          <w:sz w:val="20"/>
          <w:szCs w:val="16"/>
        </w:rPr>
        <w:t>27.</w:t>
      </w:r>
      <w:r w:rsidRPr="00251C87">
        <w:rPr>
          <w:rFonts w:ascii="Calibri" w:hAnsi="Calibri" w:cs="Arial"/>
          <w:noProof/>
          <w:sz w:val="20"/>
          <w:szCs w:val="16"/>
        </w:rPr>
        <w:tab/>
        <w:t xml:space="preserve">CFE. </w:t>
      </w:r>
      <w:r w:rsidRPr="00251C87">
        <w:rPr>
          <w:rFonts w:ascii="Calibri" w:hAnsi="Calibri" w:cs="Arial"/>
          <w:i/>
          <w:noProof/>
          <w:sz w:val="20"/>
          <w:szCs w:val="16"/>
        </w:rPr>
        <w:t>Estadísticas de Ventas</w:t>
      </w:r>
      <w:r w:rsidRPr="00251C87">
        <w:rPr>
          <w:rFonts w:ascii="Calibri" w:hAnsi="Calibri" w:cs="Arial"/>
          <w:noProof/>
          <w:sz w:val="20"/>
          <w:szCs w:val="16"/>
        </w:rPr>
        <w:t xml:space="preserve">. 2012  [cited 2008 19 de Junio de 2012]; Available from: </w:t>
      </w:r>
      <w:hyperlink r:id="rId28" w:history="1">
        <w:r w:rsidRPr="00251C87">
          <w:rPr>
            <w:rStyle w:val="Hipervnculo"/>
            <w:rFonts w:ascii="Calibri" w:hAnsi="Calibri" w:cs="Arial"/>
            <w:noProof/>
            <w:sz w:val="20"/>
            <w:szCs w:val="16"/>
          </w:rPr>
          <w:t>http://app.cfe.gob.mx/Aplicaciones/QCFE/EstVtas/Historico.aspx</w:t>
        </w:r>
      </w:hyperlink>
      <w:r w:rsidRPr="00251C87">
        <w:rPr>
          <w:rFonts w:ascii="Calibri" w:hAnsi="Calibri" w:cs="Arial"/>
          <w:noProof/>
          <w:sz w:val="20"/>
          <w:szCs w:val="16"/>
        </w:rPr>
        <w:t>.</w:t>
      </w:r>
      <w:bookmarkEnd w:id="150"/>
    </w:p>
    <w:p w:rsidR="00251C87" w:rsidRPr="00251C87" w:rsidRDefault="00251C87" w:rsidP="00251C87">
      <w:pPr>
        <w:spacing w:after="0" w:line="240" w:lineRule="auto"/>
        <w:ind w:left="720" w:hanging="720"/>
        <w:jc w:val="both"/>
        <w:rPr>
          <w:rFonts w:ascii="Calibri" w:hAnsi="Calibri" w:cs="Arial"/>
          <w:noProof/>
          <w:sz w:val="20"/>
          <w:szCs w:val="16"/>
          <w:lang w:val="en-US"/>
        </w:rPr>
      </w:pPr>
      <w:bookmarkStart w:id="151" w:name="_ENREF_28"/>
      <w:r w:rsidRPr="00251C87">
        <w:rPr>
          <w:rFonts w:ascii="Calibri" w:hAnsi="Calibri" w:cs="Arial"/>
          <w:noProof/>
          <w:sz w:val="20"/>
          <w:szCs w:val="16"/>
          <w:lang w:val="en-US"/>
        </w:rPr>
        <w:t>28.</w:t>
      </w:r>
      <w:r w:rsidRPr="00251C87">
        <w:rPr>
          <w:rFonts w:ascii="Calibri" w:hAnsi="Calibri" w:cs="Arial"/>
          <w:noProof/>
          <w:sz w:val="20"/>
          <w:szCs w:val="16"/>
          <w:lang w:val="en-US"/>
        </w:rPr>
        <w:tab/>
        <w:t xml:space="preserve">de Buen O., </w:t>
      </w:r>
      <w:r w:rsidRPr="00251C87">
        <w:rPr>
          <w:rFonts w:ascii="Calibri" w:hAnsi="Calibri" w:cs="Arial"/>
          <w:i/>
          <w:noProof/>
          <w:sz w:val="20"/>
          <w:szCs w:val="16"/>
          <w:lang w:val="en-US"/>
        </w:rPr>
        <w:t>REGIONAL REPORT ON GREENHOUSE GAS EMISSION REDUCTION POTENTIALS FROM BUILDINGS: MEXICO</w:t>
      </w:r>
      <w:r w:rsidRPr="00251C87">
        <w:rPr>
          <w:rFonts w:ascii="Calibri" w:hAnsi="Calibri" w:cs="Arial"/>
          <w:noProof/>
          <w:sz w:val="20"/>
          <w:szCs w:val="16"/>
          <w:lang w:val="en-US"/>
        </w:rPr>
        <w:t>, 2009, UNEP-SBCI: Mexico City. p. 52.</w:t>
      </w:r>
      <w:bookmarkEnd w:id="151"/>
    </w:p>
    <w:p w:rsidR="00251C87" w:rsidRPr="00251C87" w:rsidRDefault="00251C87" w:rsidP="00251C87">
      <w:pPr>
        <w:spacing w:after="0" w:line="240" w:lineRule="auto"/>
        <w:ind w:left="720" w:hanging="720"/>
        <w:jc w:val="both"/>
        <w:rPr>
          <w:rFonts w:ascii="Calibri" w:hAnsi="Calibri" w:cs="Arial"/>
          <w:noProof/>
          <w:sz w:val="20"/>
          <w:szCs w:val="16"/>
        </w:rPr>
      </w:pPr>
      <w:bookmarkStart w:id="152" w:name="_ENREF_29"/>
      <w:r w:rsidRPr="00251C87">
        <w:rPr>
          <w:rFonts w:ascii="Calibri" w:hAnsi="Calibri" w:cs="Arial"/>
          <w:noProof/>
          <w:sz w:val="20"/>
          <w:szCs w:val="16"/>
        </w:rPr>
        <w:t>29.</w:t>
      </w:r>
      <w:r w:rsidRPr="00251C87">
        <w:rPr>
          <w:rFonts w:ascii="Calibri" w:hAnsi="Calibri" w:cs="Arial"/>
          <w:noProof/>
          <w:sz w:val="20"/>
          <w:szCs w:val="16"/>
        </w:rPr>
        <w:tab/>
        <w:t xml:space="preserve">SENER, </w:t>
      </w:r>
      <w:r w:rsidRPr="00251C87">
        <w:rPr>
          <w:rFonts w:ascii="Calibri" w:hAnsi="Calibri" w:cs="Arial"/>
          <w:i/>
          <w:noProof/>
          <w:sz w:val="20"/>
          <w:szCs w:val="16"/>
        </w:rPr>
        <w:t>Prospectiva del Sector Eléctrico 2009-2024</w:t>
      </w:r>
      <w:r w:rsidRPr="00251C87">
        <w:rPr>
          <w:rFonts w:ascii="Calibri" w:hAnsi="Calibri" w:cs="Arial"/>
          <w:noProof/>
          <w:sz w:val="20"/>
          <w:szCs w:val="16"/>
        </w:rPr>
        <w:t>, 2009.</w:t>
      </w:r>
      <w:bookmarkEnd w:id="152"/>
    </w:p>
    <w:p w:rsidR="00251C87" w:rsidRPr="00251C87" w:rsidRDefault="00251C87" w:rsidP="00251C87">
      <w:pPr>
        <w:spacing w:after="0" w:line="240" w:lineRule="auto"/>
        <w:ind w:left="720" w:hanging="720"/>
        <w:jc w:val="both"/>
        <w:rPr>
          <w:rFonts w:ascii="Calibri" w:hAnsi="Calibri" w:cs="Arial"/>
          <w:noProof/>
          <w:sz w:val="20"/>
          <w:szCs w:val="16"/>
        </w:rPr>
      </w:pPr>
      <w:bookmarkStart w:id="153" w:name="_ENREF_30"/>
      <w:r w:rsidRPr="00251C87">
        <w:rPr>
          <w:rFonts w:ascii="Calibri" w:hAnsi="Calibri" w:cs="Arial"/>
          <w:noProof/>
          <w:sz w:val="20"/>
          <w:szCs w:val="16"/>
        </w:rPr>
        <w:t>30.</w:t>
      </w:r>
      <w:r w:rsidRPr="00251C87">
        <w:rPr>
          <w:rFonts w:ascii="Calibri" w:hAnsi="Calibri" w:cs="Arial"/>
          <w:noProof/>
          <w:sz w:val="20"/>
          <w:szCs w:val="16"/>
        </w:rPr>
        <w:tab/>
        <w:t xml:space="preserve">SENER, </w:t>
      </w:r>
      <w:r w:rsidRPr="00251C87">
        <w:rPr>
          <w:rFonts w:ascii="Calibri" w:hAnsi="Calibri" w:cs="Arial"/>
          <w:i/>
          <w:noProof/>
          <w:sz w:val="20"/>
          <w:szCs w:val="16"/>
        </w:rPr>
        <w:t>Prospectiva del Mercado de Gas Natural 2010-2025</w:t>
      </w:r>
      <w:r w:rsidRPr="00251C87">
        <w:rPr>
          <w:rFonts w:ascii="Calibri" w:hAnsi="Calibri" w:cs="Arial"/>
          <w:noProof/>
          <w:sz w:val="20"/>
          <w:szCs w:val="16"/>
        </w:rPr>
        <w:t>, 2010: México DF.</w:t>
      </w:r>
      <w:bookmarkEnd w:id="153"/>
    </w:p>
    <w:p w:rsidR="00251C87" w:rsidRPr="00251C87" w:rsidRDefault="00251C87" w:rsidP="00251C87">
      <w:pPr>
        <w:spacing w:after="0" w:line="240" w:lineRule="auto"/>
        <w:ind w:left="720" w:hanging="720"/>
        <w:jc w:val="both"/>
        <w:rPr>
          <w:rFonts w:ascii="Calibri" w:hAnsi="Calibri" w:cs="Arial"/>
          <w:noProof/>
          <w:sz w:val="20"/>
          <w:szCs w:val="16"/>
        </w:rPr>
      </w:pPr>
      <w:bookmarkStart w:id="154" w:name="_ENREF_31"/>
      <w:r w:rsidRPr="00251C87">
        <w:rPr>
          <w:rFonts w:ascii="Calibri" w:hAnsi="Calibri" w:cs="Arial"/>
          <w:noProof/>
          <w:sz w:val="20"/>
          <w:szCs w:val="16"/>
        </w:rPr>
        <w:t>31.</w:t>
      </w:r>
      <w:r w:rsidRPr="00251C87">
        <w:rPr>
          <w:rFonts w:ascii="Calibri" w:hAnsi="Calibri" w:cs="Arial"/>
          <w:noProof/>
          <w:sz w:val="20"/>
          <w:szCs w:val="16"/>
        </w:rPr>
        <w:tab/>
        <w:t xml:space="preserve">ITP, </w:t>
      </w:r>
      <w:r w:rsidRPr="00251C87">
        <w:rPr>
          <w:rFonts w:ascii="Calibri" w:hAnsi="Calibri" w:cs="Arial"/>
          <w:i/>
          <w:noProof/>
          <w:sz w:val="20"/>
          <w:szCs w:val="16"/>
        </w:rPr>
        <w:t>Estrategias y políticas en la fijación de precios</w:t>
      </w:r>
      <w:r w:rsidRPr="00251C87">
        <w:rPr>
          <w:rFonts w:ascii="Calibri" w:hAnsi="Calibri" w:cs="Arial"/>
          <w:noProof/>
          <w:sz w:val="20"/>
          <w:szCs w:val="16"/>
        </w:rPr>
        <w:t>, 2011.</w:t>
      </w:r>
      <w:bookmarkEnd w:id="154"/>
    </w:p>
    <w:p w:rsidR="00251C87" w:rsidRPr="00251C87" w:rsidRDefault="00251C87" w:rsidP="00251C87">
      <w:pPr>
        <w:spacing w:after="0" w:line="240" w:lineRule="auto"/>
        <w:ind w:left="720" w:hanging="720"/>
        <w:jc w:val="both"/>
        <w:rPr>
          <w:rFonts w:ascii="Calibri" w:hAnsi="Calibri" w:cs="Arial"/>
          <w:noProof/>
          <w:sz w:val="20"/>
          <w:szCs w:val="16"/>
          <w:lang w:val="en-US"/>
        </w:rPr>
      </w:pPr>
      <w:bookmarkStart w:id="155" w:name="_ENREF_32"/>
      <w:r w:rsidRPr="00251C87">
        <w:rPr>
          <w:rFonts w:ascii="Calibri" w:hAnsi="Calibri" w:cs="Arial"/>
          <w:noProof/>
          <w:sz w:val="20"/>
          <w:szCs w:val="16"/>
          <w:lang w:val="en-US"/>
        </w:rPr>
        <w:t>32.</w:t>
      </w:r>
      <w:r w:rsidRPr="00251C87">
        <w:rPr>
          <w:rFonts w:ascii="Calibri" w:hAnsi="Calibri" w:cs="Arial"/>
          <w:noProof/>
          <w:sz w:val="20"/>
          <w:szCs w:val="16"/>
          <w:lang w:val="en-US"/>
        </w:rPr>
        <w:tab/>
        <w:t xml:space="preserve">Brito, D. and W. Littlejohn, </w:t>
      </w:r>
      <w:r w:rsidRPr="00251C87">
        <w:rPr>
          <w:rFonts w:ascii="Calibri" w:hAnsi="Calibri" w:cs="Arial"/>
          <w:i/>
          <w:noProof/>
          <w:sz w:val="20"/>
          <w:szCs w:val="16"/>
          <w:lang w:val="en-US"/>
        </w:rPr>
        <w:t>Pricing Liquid Petroleum Gas in Mexico</w:t>
      </w:r>
      <w:r w:rsidRPr="00251C87">
        <w:rPr>
          <w:rFonts w:ascii="Calibri" w:hAnsi="Calibri" w:cs="Arial"/>
          <w:noProof/>
          <w:sz w:val="20"/>
          <w:szCs w:val="16"/>
          <w:lang w:val="en-US"/>
        </w:rPr>
        <w:t>, 2000.</w:t>
      </w:r>
      <w:bookmarkEnd w:id="155"/>
    </w:p>
    <w:p w:rsidR="00251C87" w:rsidRPr="00251C87" w:rsidRDefault="00251C87" w:rsidP="00251C87">
      <w:pPr>
        <w:spacing w:after="0" w:line="240" w:lineRule="auto"/>
        <w:ind w:left="720" w:hanging="720"/>
        <w:jc w:val="both"/>
        <w:rPr>
          <w:rFonts w:ascii="Calibri" w:hAnsi="Calibri" w:cs="Arial"/>
          <w:noProof/>
          <w:sz w:val="20"/>
          <w:szCs w:val="16"/>
        </w:rPr>
      </w:pPr>
      <w:bookmarkStart w:id="156" w:name="_ENREF_33"/>
      <w:r w:rsidRPr="00251C87">
        <w:rPr>
          <w:rFonts w:ascii="Calibri" w:hAnsi="Calibri" w:cs="Arial"/>
          <w:noProof/>
          <w:sz w:val="20"/>
          <w:szCs w:val="16"/>
        </w:rPr>
        <w:t>33.</w:t>
      </w:r>
      <w:r w:rsidRPr="00251C87">
        <w:rPr>
          <w:rFonts w:ascii="Calibri" w:hAnsi="Calibri" w:cs="Arial"/>
          <w:noProof/>
          <w:sz w:val="20"/>
          <w:szCs w:val="16"/>
        </w:rPr>
        <w:tab/>
        <w:t xml:space="preserve">INEGI, </w:t>
      </w:r>
      <w:r w:rsidRPr="00251C87">
        <w:rPr>
          <w:rFonts w:ascii="Calibri" w:hAnsi="Calibri" w:cs="Arial"/>
          <w:i/>
          <w:noProof/>
          <w:sz w:val="20"/>
          <w:szCs w:val="16"/>
        </w:rPr>
        <w:t>Encuesta Anual de la Industria Manufacturera EAIM 2009-2010</w:t>
      </w:r>
      <w:r w:rsidRPr="00251C87">
        <w:rPr>
          <w:rFonts w:ascii="Calibri" w:hAnsi="Calibri" w:cs="Arial"/>
          <w:noProof/>
          <w:sz w:val="20"/>
          <w:szCs w:val="16"/>
        </w:rPr>
        <w:t>, 2011.</w:t>
      </w:r>
      <w:bookmarkEnd w:id="156"/>
    </w:p>
    <w:p w:rsidR="00251C87" w:rsidRPr="00251C87" w:rsidRDefault="00251C87" w:rsidP="00251C87">
      <w:pPr>
        <w:spacing w:after="0" w:line="240" w:lineRule="auto"/>
        <w:ind w:left="720" w:hanging="720"/>
        <w:jc w:val="both"/>
        <w:rPr>
          <w:rFonts w:ascii="Calibri" w:hAnsi="Calibri" w:cs="Arial"/>
          <w:noProof/>
          <w:sz w:val="20"/>
          <w:szCs w:val="16"/>
        </w:rPr>
      </w:pPr>
      <w:bookmarkStart w:id="157" w:name="_ENREF_34"/>
      <w:r w:rsidRPr="00251C87">
        <w:rPr>
          <w:rFonts w:ascii="Calibri" w:hAnsi="Calibri" w:cs="Arial"/>
          <w:noProof/>
          <w:sz w:val="20"/>
          <w:szCs w:val="16"/>
        </w:rPr>
        <w:lastRenderedPageBreak/>
        <w:t>34.</w:t>
      </w:r>
      <w:r w:rsidRPr="00251C87">
        <w:rPr>
          <w:rFonts w:ascii="Calibri" w:hAnsi="Calibri" w:cs="Arial"/>
          <w:noProof/>
          <w:sz w:val="20"/>
          <w:szCs w:val="16"/>
        </w:rPr>
        <w:tab/>
        <w:t xml:space="preserve">PROFECO. </w:t>
      </w:r>
      <w:r w:rsidRPr="00251C87">
        <w:rPr>
          <w:rFonts w:ascii="Calibri" w:hAnsi="Calibri" w:cs="Arial"/>
          <w:i/>
          <w:noProof/>
          <w:sz w:val="20"/>
          <w:szCs w:val="16"/>
        </w:rPr>
        <w:t>Brújula de compra: Calentadores de agua</w:t>
      </w:r>
      <w:r w:rsidRPr="00251C87">
        <w:rPr>
          <w:rFonts w:ascii="Calibri" w:hAnsi="Calibri" w:cs="Arial"/>
          <w:noProof/>
          <w:sz w:val="20"/>
          <w:szCs w:val="16"/>
        </w:rPr>
        <w:t xml:space="preserve">. Available from: </w:t>
      </w:r>
      <w:hyperlink r:id="rId29" w:history="1">
        <w:r w:rsidRPr="00251C87">
          <w:rPr>
            <w:rStyle w:val="Hipervnculo"/>
            <w:rFonts w:ascii="Calibri" w:hAnsi="Calibri" w:cs="Arial"/>
            <w:noProof/>
            <w:sz w:val="20"/>
            <w:szCs w:val="16"/>
          </w:rPr>
          <w:t>http://www.profeco.gob.mx/encuesta/brujula/bruj_2006/bol27_calentadores.asp</w:t>
        </w:r>
      </w:hyperlink>
      <w:r w:rsidRPr="00251C87">
        <w:rPr>
          <w:rFonts w:ascii="Calibri" w:hAnsi="Calibri" w:cs="Arial"/>
          <w:noProof/>
          <w:sz w:val="20"/>
          <w:szCs w:val="16"/>
        </w:rPr>
        <w:t>.</w:t>
      </w:r>
      <w:bookmarkEnd w:id="157"/>
    </w:p>
    <w:p w:rsidR="00251C87" w:rsidRPr="00251C87" w:rsidRDefault="00251C87" w:rsidP="00251C87">
      <w:pPr>
        <w:spacing w:after="0" w:line="240" w:lineRule="auto"/>
        <w:ind w:left="720" w:hanging="720"/>
        <w:jc w:val="both"/>
        <w:rPr>
          <w:rFonts w:ascii="Calibri" w:hAnsi="Calibri" w:cs="Arial"/>
          <w:noProof/>
          <w:sz w:val="20"/>
          <w:szCs w:val="16"/>
        </w:rPr>
      </w:pPr>
      <w:bookmarkStart w:id="158" w:name="_ENREF_35"/>
      <w:r w:rsidRPr="00251C87">
        <w:rPr>
          <w:rFonts w:ascii="Calibri" w:hAnsi="Calibri" w:cs="Arial"/>
          <w:noProof/>
          <w:sz w:val="20"/>
          <w:szCs w:val="16"/>
        </w:rPr>
        <w:t>35.</w:t>
      </w:r>
      <w:r w:rsidRPr="00251C87">
        <w:rPr>
          <w:rFonts w:ascii="Calibri" w:hAnsi="Calibri" w:cs="Arial"/>
          <w:noProof/>
          <w:sz w:val="20"/>
          <w:szCs w:val="16"/>
        </w:rPr>
        <w:tab/>
        <w:t xml:space="preserve">FIDE, </w:t>
      </w:r>
      <w:r w:rsidRPr="00251C87">
        <w:rPr>
          <w:rFonts w:ascii="Calibri" w:hAnsi="Calibri" w:cs="Arial"/>
          <w:i/>
          <w:noProof/>
          <w:sz w:val="20"/>
          <w:szCs w:val="16"/>
        </w:rPr>
        <w:t xml:space="preserve">Programa de Ahorro de Energía en el Sector Doméstico: Fideicomiso para el aislamiento térmico de la vivienda (FIPATERM) </w:t>
      </w:r>
      <w:r w:rsidRPr="00251C87">
        <w:rPr>
          <w:rFonts w:ascii="Calibri" w:hAnsi="Calibri" w:cs="Arial"/>
          <w:noProof/>
          <w:sz w:val="20"/>
          <w:szCs w:val="16"/>
        </w:rPr>
        <w:t>2011, Fideicomiso para el Ahorro de Energía Eléctrica: México.</w:t>
      </w:r>
      <w:bookmarkEnd w:id="158"/>
    </w:p>
    <w:p w:rsidR="00251C87" w:rsidRPr="00251C87" w:rsidRDefault="00251C87" w:rsidP="00251C87">
      <w:pPr>
        <w:spacing w:after="0" w:line="240" w:lineRule="auto"/>
        <w:ind w:left="720" w:hanging="720"/>
        <w:jc w:val="both"/>
        <w:rPr>
          <w:rFonts w:ascii="Calibri" w:hAnsi="Calibri" w:cs="Arial"/>
          <w:noProof/>
          <w:sz w:val="20"/>
          <w:szCs w:val="16"/>
          <w:lang w:val="en-US"/>
        </w:rPr>
      </w:pPr>
      <w:bookmarkStart w:id="159" w:name="_ENREF_36"/>
      <w:r w:rsidRPr="00251C87">
        <w:rPr>
          <w:rFonts w:ascii="Calibri" w:hAnsi="Calibri" w:cs="Arial"/>
          <w:noProof/>
          <w:sz w:val="20"/>
          <w:szCs w:val="16"/>
          <w:lang w:val="en-US"/>
        </w:rPr>
        <w:t>36.</w:t>
      </w:r>
      <w:r w:rsidRPr="00251C87">
        <w:rPr>
          <w:rFonts w:ascii="Calibri" w:hAnsi="Calibri" w:cs="Arial"/>
          <w:noProof/>
          <w:sz w:val="20"/>
          <w:szCs w:val="16"/>
          <w:lang w:val="en-US"/>
        </w:rPr>
        <w:tab/>
        <w:t xml:space="preserve">Heffner, G. and N. Campbell, </w:t>
      </w:r>
      <w:r w:rsidRPr="00251C87">
        <w:rPr>
          <w:rFonts w:ascii="Calibri" w:hAnsi="Calibri" w:cs="Arial"/>
          <w:i/>
          <w:noProof/>
          <w:sz w:val="20"/>
          <w:szCs w:val="16"/>
          <w:lang w:val="en-US"/>
        </w:rPr>
        <w:t>Evaluating the co-benefits of  low-income energy-efficiency programmes. Results of the Dublin Workshop, 27-28 January 2011</w:t>
      </w:r>
      <w:r w:rsidRPr="00251C87">
        <w:rPr>
          <w:rFonts w:ascii="Calibri" w:hAnsi="Calibri" w:cs="Arial"/>
          <w:noProof/>
          <w:sz w:val="20"/>
          <w:szCs w:val="16"/>
          <w:lang w:val="en-US"/>
        </w:rPr>
        <w:t>, 2011, International Energy Agency.</w:t>
      </w:r>
      <w:bookmarkEnd w:id="159"/>
    </w:p>
    <w:p w:rsidR="00251C87" w:rsidRPr="00251C87" w:rsidRDefault="00251C87" w:rsidP="00251C87">
      <w:pPr>
        <w:spacing w:after="0" w:line="240" w:lineRule="auto"/>
        <w:ind w:left="720" w:hanging="720"/>
        <w:jc w:val="both"/>
        <w:rPr>
          <w:rFonts w:ascii="Calibri" w:hAnsi="Calibri" w:cs="Arial"/>
          <w:noProof/>
          <w:sz w:val="20"/>
          <w:szCs w:val="16"/>
          <w:lang w:val="en-US"/>
        </w:rPr>
      </w:pPr>
      <w:bookmarkStart w:id="160" w:name="_ENREF_37"/>
      <w:r w:rsidRPr="00251C87">
        <w:rPr>
          <w:rFonts w:ascii="Calibri" w:hAnsi="Calibri" w:cs="Arial"/>
          <w:noProof/>
          <w:sz w:val="20"/>
          <w:szCs w:val="16"/>
          <w:lang w:val="en-US"/>
        </w:rPr>
        <w:t>37.</w:t>
      </w:r>
      <w:r w:rsidRPr="00251C87">
        <w:rPr>
          <w:rFonts w:ascii="Calibri" w:hAnsi="Calibri" w:cs="Arial"/>
          <w:noProof/>
          <w:sz w:val="20"/>
          <w:szCs w:val="16"/>
          <w:lang w:val="en-US"/>
        </w:rPr>
        <w:tab/>
        <w:t xml:space="preserve">Wilson, A., </w:t>
      </w:r>
      <w:r w:rsidRPr="00251C87">
        <w:rPr>
          <w:rFonts w:ascii="Calibri" w:hAnsi="Calibri" w:cs="Arial"/>
          <w:i/>
          <w:noProof/>
          <w:sz w:val="20"/>
          <w:szCs w:val="16"/>
          <w:lang w:val="en-US"/>
        </w:rPr>
        <w:t xml:space="preserve">Making the Case for Green Building </w:t>
      </w:r>
      <w:r w:rsidRPr="00251C87">
        <w:rPr>
          <w:rFonts w:ascii="Calibri" w:hAnsi="Calibri" w:cs="Arial"/>
          <w:noProof/>
          <w:sz w:val="20"/>
          <w:szCs w:val="16"/>
          <w:lang w:val="en-US"/>
        </w:rPr>
        <w:t xml:space="preserve">in </w:t>
      </w:r>
      <w:r w:rsidRPr="00251C87">
        <w:rPr>
          <w:rFonts w:ascii="Calibri" w:hAnsi="Calibri" w:cs="Arial"/>
          <w:i/>
          <w:noProof/>
          <w:sz w:val="20"/>
          <w:szCs w:val="16"/>
          <w:lang w:val="en-US"/>
        </w:rPr>
        <w:t>Environmental Building News</w:t>
      </w:r>
      <w:r w:rsidRPr="00251C87">
        <w:rPr>
          <w:rFonts w:ascii="Calibri" w:hAnsi="Calibri" w:cs="Arial"/>
          <w:noProof/>
          <w:sz w:val="20"/>
          <w:szCs w:val="16"/>
          <w:lang w:val="en-US"/>
        </w:rPr>
        <w:t>2005.</w:t>
      </w:r>
      <w:bookmarkEnd w:id="160"/>
    </w:p>
    <w:p w:rsidR="00251C87" w:rsidRPr="00251C87" w:rsidRDefault="00251C87" w:rsidP="00251C87">
      <w:pPr>
        <w:spacing w:after="0" w:line="240" w:lineRule="auto"/>
        <w:ind w:left="720" w:hanging="720"/>
        <w:jc w:val="both"/>
        <w:rPr>
          <w:rFonts w:ascii="Calibri" w:hAnsi="Calibri" w:cs="Arial"/>
          <w:noProof/>
          <w:sz w:val="20"/>
          <w:szCs w:val="16"/>
          <w:lang w:val="en-US"/>
        </w:rPr>
      </w:pPr>
      <w:bookmarkStart w:id="161" w:name="_ENREF_38"/>
      <w:r w:rsidRPr="00251C87">
        <w:rPr>
          <w:rFonts w:ascii="Calibri" w:hAnsi="Calibri" w:cs="Arial"/>
          <w:noProof/>
          <w:sz w:val="20"/>
          <w:szCs w:val="16"/>
          <w:lang w:val="en-US"/>
        </w:rPr>
        <w:t>38.</w:t>
      </w:r>
      <w:r w:rsidRPr="00251C87">
        <w:rPr>
          <w:rFonts w:ascii="Calibri" w:hAnsi="Calibri" w:cs="Arial"/>
          <w:noProof/>
          <w:sz w:val="20"/>
          <w:szCs w:val="16"/>
          <w:lang w:val="en-US"/>
        </w:rPr>
        <w:tab/>
        <w:t xml:space="preserve">Golubchikov, O., </w:t>
      </w:r>
      <w:r w:rsidRPr="00251C87">
        <w:rPr>
          <w:rFonts w:ascii="Calibri" w:hAnsi="Calibri" w:cs="Arial"/>
          <w:i/>
          <w:noProof/>
          <w:sz w:val="20"/>
          <w:szCs w:val="16"/>
          <w:lang w:val="en-US"/>
        </w:rPr>
        <w:t>Green Homes. Towards energy-efficient housing in the United Nations Economic Commission for Europe region</w:t>
      </w:r>
      <w:r w:rsidRPr="00251C87">
        <w:rPr>
          <w:rFonts w:ascii="Calibri" w:hAnsi="Calibri" w:cs="Arial"/>
          <w:noProof/>
          <w:sz w:val="20"/>
          <w:szCs w:val="16"/>
          <w:lang w:val="en-US"/>
        </w:rPr>
        <w:t>, 2009, United Nations Economic Commission for Europe: Geneva.</w:t>
      </w:r>
      <w:bookmarkEnd w:id="161"/>
    </w:p>
    <w:p w:rsidR="00251C87" w:rsidRPr="00251C87" w:rsidRDefault="00251C87" w:rsidP="00251C87">
      <w:pPr>
        <w:spacing w:after="0" w:line="240" w:lineRule="auto"/>
        <w:ind w:left="720" w:hanging="720"/>
        <w:jc w:val="both"/>
        <w:rPr>
          <w:rFonts w:ascii="Calibri" w:hAnsi="Calibri" w:cs="Arial"/>
          <w:noProof/>
          <w:sz w:val="20"/>
          <w:szCs w:val="16"/>
          <w:lang w:val="en-US"/>
        </w:rPr>
      </w:pPr>
      <w:bookmarkStart w:id="162" w:name="_ENREF_39"/>
      <w:r w:rsidRPr="00251C87">
        <w:rPr>
          <w:rFonts w:ascii="Calibri" w:hAnsi="Calibri" w:cs="Arial"/>
          <w:noProof/>
          <w:sz w:val="20"/>
          <w:szCs w:val="16"/>
          <w:lang w:val="en-US"/>
        </w:rPr>
        <w:t>39.</w:t>
      </w:r>
      <w:r w:rsidRPr="00251C87">
        <w:rPr>
          <w:rFonts w:ascii="Calibri" w:hAnsi="Calibri" w:cs="Arial"/>
          <w:noProof/>
          <w:sz w:val="20"/>
          <w:szCs w:val="16"/>
          <w:lang w:val="en-US"/>
        </w:rPr>
        <w:tab/>
        <w:t xml:space="preserve">Schweitzer, M. and B. Tonn, </w:t>
      </w:r>
      <w:r w:rsidRPr="00251C87">
        <w:rPr>
          <w:rFonts w:ascii="Calibri" w:hAnsi="Calibri" w:cs="Arial"/>
          <w:i/>
          <w:noProof/>
          <w:sz w:val="20"/>
          <w:szCs w:val="16"/>
          <w:lang w:val="en-US"/>
        </w:rPr>
        <w:t>Nonenergy benefits from the weatherization assistance program: a summary of findings from the recent literature</w:t>
      </w:r>
      <w:r w:rsidRPr="00251C87">
        <w:rPr>
          <w:rFonts w:ascii="Calibri" w:hAnsi="Calibri" w:cs="Arial"/>
          <w:noProof/>
          <w:sz w:val="20"/>
          <w:szCs w:val="16"/>
          <w:lang w:val="en-US"/>
        </w:rPr>
        <w:t>, 2002, OAK RIDGE NATIONAL LABORATORY: Springfield, VA.</w:t>
      </w:r>
      <w:bookmarkEnd w:id="162"/>
    </w:p>
    <w:p w:rsidR="00251C87" w:rsidRPr="00251C87" w:rsidRDefault="00251C87" w:rsidP="00251C87">
      <w:pPr>
        <w:spacing w:after="0" w:line="240" w:lineRule="auto"/>
        <w:ind w:left="720" w:hanging="720"/>
        <w:jc w:val="both"/>
        <w:rPr>
          <w:rFonts w:ascii="Calibri" w:hAnsi="Calibri" w:cs="Arial"/>
          <w:noProof/>
          <w:sz w:val="20"/>
          <w:szCs w:val="16"/>
          <w:lang w:val="en-US"/>
        </w:rPr>
      </w:pPr>
      <w:bookmarkStart w:id="163" w:name="_ENREF_40"/>
      <w:r w:rsidRPr="00251C87">
        <w:rPr>
          <w:rFonts w:ascii="Calibri" w:hAnsi="Calibri" w:cs="Arial"/>
          <w:noProof/>
          <w:sz w:val="20"/>
          <w:szCs w:val="16"/>
          <w:lang w:val="en-US"/>
        </w:rPr>
        <w:t>40.</w:t>
      </w:r>
      <w:r w:rsidRPr="00251C87">
        <w:rPr>
          <w:rFonts w:ascii="Calibri" w:hAnsi="Calibri" w:cs="Arial"/>
          <w:noProof/>
          <w:sz w:val="20"/>
          <w:szCs w:val="16"/>
          <w:lang w:val="en-US"/>
        </w:rPr>
        <w:tab/>
        <w:t xml:space="preserve">Renner, M., S. Sweeney, and J. Kubit, </w:t>
      </w:r>
      <w:r w:rsidRPr="00251C87">
        <w:rPr>
          <w:rFonts w:ascii="Calibri" w:hAnsi="Calibri" w:cs="Arial"/>
          <w:i/>
          <w:noProof/>
          <w:sz w:val="20"/>
          <w:szCs w:val="16"/>
          <w:lang w:val="en-US"/>
        </w:rPr>
        <w:t>Green Jobs: Towards decent work in a sustainable, low-carbon world</w:t>
      </w:r>
      <w:r w:rsidRPr="00251C87">
        <w:rPr>
          <w:rFonts w:ascii="Calibri" w:hAnsi="Calibri" w:cs="Arial"/>
          <w:noProof/>
          <w:sz w:val="20"/>
          <w:szCs w:val="16"/>
          <w:lang w:val="en-US"/>
        </w:rPr>
        <w:t>, 2008, Worldwatch Institute.</w:t>
      </w:r>
      <w:bookmarkEnd w:id="163"/>
    </w:p>
    <w:p w:rsidR="00251C87" w:rsidRPr="00251C87" w:rsidRDefault="00251C87" w:rsidP="00251C87">
      <w:pPr>
        <w:spacing w:after="0" w:line="240" w:lineRule="auto"/>
        <w:ind w:left="720" w:hanging="720"/>
        <w:jc w:val="both"/>
        <w:rPr>
          <w:rFonts w:ascii="Calibri" w:hAnsi="Calibri" w:cs="Arial"/>
          <w:noProof/>
          <w:sz w:val="20"/>
          <w:szCs w:val="16"/>
          <w:lang w:val="en-US"/>
        </w:rPr>
      </w:pPr>
      <w:bookmarkStart w:id="164" w:name="_ENREF_41"/>
      <w:r w:rsidRPr="00251C87">
        <w:rPr>
          <w:rFonts w:ascii="Calibri" w:hAnsi="Calibri" w:cs="Arial"/>
          <w:noProof/>
          <w:sz w:val="20"/>
          <w:szCs w:val="16"/>
          <w:lang w:val="en-US"/>
        </w:rPr>
        <w:t>41.</w:t>
      </w:r>
      <w:r w:rsidRPr="00251C87">
        <w:rPr>
          <w:rFonts w:ascii="Calibri" w:hAnsi="Calibri" w:cs="Arial"/>
          <w:noProof/>
          <w:sz w:val="20"/>
          <w:szCs w:val="16"/>
          <w:lang w:val="en-US"/>
        </w:rPr>
        <w:tab/>
        <w:t xml:space="preserve">Managan, K., et al., </w:t>
      </w:r>
      <w:r w:rsidRPr="00251C87">
        <w:rPr>
          <w:rFonts w:ascii="Calibri" w:hAnsi="Calibri" w:cs="Arial"/>
          <w:i/>
          <w:noProof/>
          <w:sz w:val="20"/>
          <w:szCs w:val="16"/>
          <w:lang w:val="en-US"/>
        </w:rPr>
        <w:t>Driving Transformation to Energy Efficient Buildings Policies and Actions</w:t>
      </w:r>
      <w:r w:rsidRPr="00251C87">
        <w:rPr>
          <w:rFonts w:ascii="Calibri" w:hAnsi="Calibri" w:cs="Arial"/>
          <w:noProof/>
          <w:sz w:val="20"/>
          <w:szCs w:val="16"/>
          <w:lang w:val="en-US"/>
        </w:rPr>
        <w:t>, 2011, Institute for buliding efficiency, Business Council for Sustainable Energy, Center for Clean Air Policy, US Green Building Council and World Green Building Council.</w:t>
      </w:r>
      <w:bookmarkEnd w:id="164"/>
    </w:p>
    <w:p w:rsidR="00251C87" w:rsidRPr="00251C87" w:rsidRDefault="00251C87" w:rsidP="00251C87">
      <w:pPr>
        <w:spacing w:after="0" w:line="240" w:lineRule="auto"/>
        <w:ind w:left="720" w:hanging="720"/>
        <w:jc w:val="both"/>
        <w:rPr>
          <w:rFonts w:ascii="Calibri" w:hAnsi="Calibri" w:cs="Arial"/>
          <w:noProof/>
          <w:sz w:val="20"/>
          <w:szCs w:val="16"/>
          <w:lang w:val="en-US"/>
        </w:rPr>
      </w:pPr>
      <w:bookmarkStart w:id="165" w:name="_ENREF_42"/>
      <w:r w:rsidRPr="00251C87">
        <w:rPr>
          <w:rFonts w:ascii="Calibri" w:hAnsi="Calibri" w:cs="Arial"/>
          <w:noProof/>
          <w:sz w:val="20"/>
          <w:szCs w:val="16"/>
          <w:lang w:val="en-US"/>
        </w:rPr>
        <w:t>42.</w:t>
      </w:r>
      <w:r w:rsidRPr="00251C87">
        <w:rPr>
          <w:rFonts w:ascii="Calibri" w:hAnsi="Calibri" w:cs="Arial"/>
          <w:noProof/>
          <w:sz w:val="20"/>
          <w:szCs w:val="16"/>
          <w:lang w:val="en-US"/>
        </w:rPr>
        <w:tab/>
        <w:t xml:space="preserve">Nemet, G.F., T. Holloway, and P. Meier, </w:t>
      </w:r>
      <w:r w:rsidRPr="00251C87">
        <w:rPr>
          <w:rFonts w:ascii="Calibri" w:hAnsi="Calibri" w:cs="Arial"/>
          <w:i/>
          <w:noProof/>
          <w:sz w:val="20"/>
          <w:szCs w:val="16"/>
          <w:lang w:val="en-US"/>
        </w:rPr>
        <w:t>Implications of incorporating air quality co-benefits into climate change policy making.</w:t>
      </w:r>
      <w:r w:rsidRPr="00251C87">
        <w:rPr>
          <w:rFonts w:ascii="Calibri" w:hAnsi="Calibri" w:cs="Arial"/>
          <w:noProof/>
          <w:sz w:val="20"/>
          <w:szCs w:val="16"/>
          <w:lang w:val="en-US"/>
        </w:rPr>
        <w:t xml:space="preserve"> Environmental Research Letters, 2010(5).</w:t>
      </w:r>
      <w:bookmarkEnd w:id="165"/>
    </w:p>
    <w:p w:rsidR="00251C87" w:rsidRPr="00251C87" w:rsidRDefault="00251C87" w:rsidP="00251C87">
      <w:pPr>
        <w:spacing w:after="0" w:line="240" w:lineRule="auto"/>
        <w:ind w:left="720" w:hanging="720"/>
        <w:jc w:val="both"/>
        <w:rPr>
          <w:rFonts w:ascii="Calibri" w:hAnsi="Calibri" w:cs="Arial"/>
          <w:noProof/>
          <w:sz w:val="20"/>
          <w:szCs w:val="16"/>
          <w:lang w:val="en-US"/>
        </w:rPr>
      </w:pPr>
      <w:bookmarkStart w:id="166" w:name="_ENREF_43"/>
      <w:r w:rsidRPr="00251C87">
        <w:rPr>
          <w:rFonts w:ascii="Calibri" w:hAnsi="Calibri" w:cs="Arial"/>
          <w:noProof/>
          <w:sz w:val="20"/>
          <w:szCs w:val="16"/>
          <w:lang w:val="en-US"/>
        </w:rPr>
        <w:t>43.</w:t>
      </w:r>
      <w:r w:rsidRPr="00251C87">
        <w:rPr>
          <w:rFonts w:ascii="Calibri" w:hAnsi="Calibri" w:cs="Arial"/>
          <w:noProof/>
          <w:sz w:val="20"/>
          <w:szCs w:val="16"/>
          <w:lang w:val="en-US"/>
        </w:rPr>
        <w:tab/>
        <w:t xml:space="preserve">Bystricky, E., et al., </w:t>
      </w:r>
      <w:r w:rsidRPr="00251C87">
        <w:rPr>
          <w:rFonts w:ascii="Calibri" w:hAnsi="Calibri" w:cs="Arial"/>
          <w:i/>
          <w:noProof/>
          <w:sz w:val="20"/>
          <w:szCs w:val="16"/>
          <w:lang w:val="en-US"/>
        </w:rPr>
        <w:t>Co-benefits of private investment in climate change mitigation and adaptation in developing countries</w:t>
      </w:r>
      <w:r w:rsidRPr="00251C87">
        <w:rPr>
          <w:rFonts w:ascii="Calibri" w:hAnsi="Calibri" w:cs="Arial"/>
          <w:noProof/>
          <w:sz w:val="20"/>
          <w:szCs w:val="16"/>
          <w:lang w:val="en-US"/>
        </w:rPr>
        <w:t>, 2010, Ecofys.</w:t>
      </w:r>
      <w:bookmarkEnd w:id="166"/>
    </w:p>
    <w:p w:rsidR="00251C87" w:rsidRPr="00251C87" w:rsidRDefault="00251C87" w:rsidP="00251C87">
      <w:pPr>
        <w:spacing w:after="0" w:line="240" w:lineRule="auto"/>
        <w:ind w:left="720" w:hanging="720"/>
        <w:jc w:val="both"/>
        <w:rPr>
          <w:rFonts w:ascii="Calibri" w:hAnsi="Calibri" w:cs="Arial"/>
          <w:noProof/>
          <w:sz w:val="20"/>
          <w:szCs w:val="16"/>
          <w:lang w:val="en-US"/>
        </w:rPr>
      </w:pPr>
      <w:bookmarkStart w:id="167" w:name="_ENREF_44"/>
      <w:r w:rsidRPr="00251C87">
        <w:rPr>
          <w:rFonts w:ascii="Calibri" w:hAnsi="Calibri" w:cs="Arial"/>
          <w:noProof/>
          <w:sz w:val="20"/>
          <w:szCs w:val="16"/>
          <w:lang w:val="en-US"/>
        </w:rPr>
        <w:t>44.</w:t>
      </w:r>
      <w:r w:rsidRPr="00251C87">
        <w:rPr>
          <w:rFonts w:ascii="Calibri" w:hAnsi="Calibri" w:cs="Arial"/>
          <w:noProof/>
          <w:sz w:val="20"/>
          <w:szCs w:val="16"/>
          <w:lang w:val="en-US"/>
        </w:rPr>
        <w:tab/>
        <w:t xml:space="preserve">Wilkinson, P., et al., </w:t>
      </w:r>
      <w:r w:rsidRPr="00251C87">
        <w:rPr>
          <w:rFonts w:ascii="Calibri" w:hAnsi="Calibri" w:cs="Arial"/>
          <w:i/>
          <w:noProof/>
          <w:sz w:val="20"/>
          <w:szCs w:val="16"/>
          <w:lang w:val="en-US"/>
        </w:rPr>
        <w:t>Public health benefi ts of strategies to reduce greenhouse-gas emissions: household energy.</w:t>
      </w:r>
      <w:r w:rsidRPr="00251C87">
        <w:rPr>
          <w:rFonts w:ascii="Calibri" w:hAnsi="Calibri" w:cs="Arial"/>
          <w:noProof/>
          <w:sz w:val="20"/>
          <w:szCs w:val="16"/>
          <w:lang w:val="en-US"/>
        </w:rPr>
        <w:t xml:space="preserve"> The Lancet, 2009. </w:t>
      </w:r>
      <w:r w:rsidRPr="00251C87">
        <w:rPr>
          <w:rFonts w:ascii="Calibri" w:hAnsi="Calibri" w:cs="Arial"/>
          <w:b/>
          <w:noProof/>
          <w:sz w:val="20"/>
          <w:szCs w:val="16"/>
          <w:lang w:val="en-US"/>
        </w:rPr>
        <w:t>374</w:t>
      </w:r>
      <w:r w:rsidRPr="00251C87">
        <w:rPr>
          <w:rFonts w:ascii="Calibri" w:hAnsi="Calibri" w:cs="Arial"/>
          <w:noProof/>
          <w:sz w:val="20"/>
          <w:szCs w:val="16"/>
          <w:lang w:val="en-US"/>
        </w:rPr>
        <w:t>: p. 1917–29.</w:t>
      </w:r>
      <w:bookmarkEnd w:id="167"/>
    </w:p>
    <w:p w:rsidR="00251C87" w:rsidRPr="00251C87" w:rsidRDefault="00251C87" w:rsidP="00251C87">
      <w:pPr>
        <w:spacing w:after="0" w:line="240" w:lineRule="auto"/>
        <w:ind w:left="720" w:hanging="720"/>
        <w:jc w:val="both"/>
        <w:rPr>
          <w:rFonts w:ascii="Calibri" w:hAnsi="Calibri" w:cs="Arial"/>
          <w:noProof/>
          <w:sz w:val="20"/>
          <w:szCs w:val="16"/>
          <w:lang w:val="en-US"/>
        </w:rPr>
      </w:pPr>
      <w:bookmarkStart w:id="168" w:name="_ENREF_45"/>
      <w:r w:rsidRPr="00251C87">
        <w:rPr>
          <w:rFonts w:ascii="Calibri" w:hAnsi="Calibri" w:cs="Arial"/>
          <w:noProof/>
          <w:sz w:val="20"/>
          <w:szCs w:val="16"/>
          <w:lang w:val="en-US"/>
        </w:rPr>
        <w:t>45.</w:t>
      </w:r>
      <w:r w:rsidRPr="00251C87">
        <w:rPr>
          <w:rFonts w:ascii="Calibri" w:hAnsi="Calibri" w:cs="Arial"/>
          <w:noProof/>
          <w:sz w:val="20"/>
          <w:szCs w:val="16"/>
          <w:lang w:val="en-US"/>
        </w:rPr>
        <w:tab/>
        <w:t xml:space="preserve">Alvarez, S., et al., </w:t>
      </w:r>
      <w:r w:rsidRPr="00251C87">
        <w:rPr>
          <w:rFonts w:ascii="Calibri" w:hAnsi="Calibri" w:cs="Arial"/>
          <w:i/>
          <w:noProof/>
          <w:sz w:val="20"/>
          <w:szCs w:val="16"/>
          <w:lang w:val="en-US"/>
        </w:rPr>
        <w:t>Indoor Air Quality and the Use of Energy in Buildings</w:t>
      </w:r>
      <w:r w:rsidRPr="00251C87">
        <w:rPr>
          <w:rFonts w:ascii="Calibri" w:hAnsi="Calibri" w:cs="Arial"/>
          <w:noProof/>
          <w:sz w:val="20"/>
          <w:szCs w:val="16"/>
          <w:lang w:val="en-US"/>
        </w:rPr>
        <w:t xml:space="preserve">, in </w:t>
      </w:r>
      <w:r w:rsidRPr="00251C87">
        <w:rPr>
          <w:rFonts w:ascii="Calibri" w:hAnsi="Calibri" w:cs="Arial"/>
          <w:i/>
          <w:noProof/>
          <w:sz w:val="20"/>
          <w:szCs w:val="16"/>
          <w:lang w:val="en-US"/>
        </w:rPr>
        <w:t>Indoor Air Quality and its Impact on Man</w:t>
      </w:r>
      <w:r w:rsidRPr="00251C87">
        <w:rPr>
          <w:rFonts w:ascii="Calibri" w:hAnsi="Calibri" w:cs="Arial"/>
          <w:noProof/>
          <w:sz w:val="20"/>
          <w:szCs w:val="16"/>
          <w:lang w:val="en-US"/>
        </w:rPr>
        <w:t>, E.C. Action, Editor 1996, European Comission, Joint Research Centre, Environment Institute: Brussels.</w:t>
      </w:r>
      <w:bookmarkEnd w:id="168"/>
    </w:p>
    <w:p w:rsidR="00251C87" w:rsidRPr="00251C87" w:rsidRDefault="00251C87" w:rsidP="00251C87">
      <w:pPr>
        <w:spacing w:after="0" w:line="240" w:lineRule="auto"/>
        <w:ind w:left="720" w:hanging="720"/>
        <w:jc w:val="both"/>
        <w:rPr>
          <w:rFonts w:ascii="Calibri" w:hAnsi="Calibri" w:cs="Arial"/>
          <w:noProof/>
          <w:sz w:val="20"/>
          <w:szCs w:val="16"/>
          <w:lang w:val="en-US"/>
        </w:rPr>
      </w:pPr>
      <w:bookmarkStart w:id="169" w:name="_ENREF_46"/>
      <w:r w:rsidRPr="00251C87">
        <w:rPr>
          <w:rFonts w:ascii="Calibri" w:hAnsi="Calibri" w:cs="Arial"/>
          <w:noProof/>
          <w:sz w:val="20"/>
          <w:szCs w:val="16"/>
          <w:lang w:val="en-US"/>
        </w:rPr>
        <w:t>46.</w:t>
      </w:r>
      <w:r w:rsidRPr="00251C87">
        <w:rPr>
          <w:rFonts w:ascii="Calibri" w:hAnsi="Calibri" w:cs="Arial"/>
          <w:noProof/>
          <w:sz w:val="20"/>
          <w:szCs w:val="16"/>
          <w:lang w:val="en-US"/>
        </w:rPr>
        <w:tab/>
        <w:t xml:space="preserve">Mudarri D., </w:t>
      </w:r>
      <w:r w:rsidRPr="00251C87">
        <w:rPr>
          <w:rFonts w:ascii="Calibri" w:hAnsi="Calibri" w:cs="Arial"/>
          <w:i/>
          <w:noProof/>
          <w:sz w:val="20"/>
          <w:szCs w:val="16"/>
          <w:lang w:val="en-US"/>
        </w:rPr>
        <w:t>Building Codes and Indoor Air Quality</w:t>
      </w:r>
      <w:r w:rsidRPr="00251C87">
        <w:rPr>
          <w:rFonts w:ascii="Calibri" w:hAnsi="Calibri" w:cs="Arial"/>
          <w:noProof/>
          <w:sz w:val="20"/>
          <w:szCs w:val="16"/>
          <w:lang w:val="en-US"/>
        </w:rPr>
        <w:t>, 2010, The Cadmus Group. p. 35.</w:t>
      </w:r>
      <w:bookmarkEnd w:id="169"/>
    </w:p>
    <w:p w:rsidR="00251C87" w:rsidRPr="00251C87" w:rsidRDefault="00251C87" w:rsidP="00251C87">
      <w:pPr>
        <w:spacing w:after="0" w:line="240" w:lineRule="auto"/>
        <w:ind w:left="720" w:hanging="720"/>
        <w:jc w:val="both"/>
        <w:rPr>
          <w:rFonts w:ascii="Calibri" w:hAnsi="Calibri" w:cs="Arial"/>
          <w:noProof/>
          <w:sz w:val="20"/>
          <w:szCs w:val="16"/>
          <w:lang w:val="en-US"/>
        </w:rPr>
      </w:pPr>
      <w:bookmarkStart w:id="170" w:name="_ENREF_47"/>
      <w:r w:rsidRPr="00251C87">
        <w:rPr>
          <w:rFonts w:ascii="Calibri" w:hAnsi="Calibri" w:cs="Arial"/>
          <w:noProof/>
          <w:sz w:val="20"/>
          <w:szCs w:val="16"/>
          <w:lang w:val="en-US"/>
        </w:rPr>
        <w:t>47.</w:t>
      </w:r>
      <w:r w:rsidRPr="00251C87">
        <w:rPr>
          <w:rFonts w:ascii="Calibri" w:hAnsi="Calibri" w:cs="Arial"/>
          <w:noProof/>
          <w:sz w:val="20"/>
          <w:szCs w:val="16"/>
          <w:lang w:val="en-US"/>
        </w:rPr>
        <w:tab/>
      </w:r>
      <w:r w:rsidRPr="00251C87">
        <w:rPr>
          <w:rFonts w:ascii="Calibri" w:hAnsi="Calibri" w:cs="Arial"/>
          <w:i/>
          <w:noProof/>
          <w:sz w:val="20"/>
          <w:szCs w:val="16"/>
          <w:lang w:val="en-US"/>
        </w:rPr>
        <w:t>Health Impacts of Low Indoor Temperatures</w:t>
      </w:r>
      <w:r w:rsidRPr="00251C87">
        <w:rPr>
          <w:rFonts w:ascii="Calibri" w:hAnsi="Calibri" w:cs="Arial"/>
          <w:noProof/>
          <w:sz w:val="20"/>
          <w:szCs w:val="16"/>
          <w:lang w:val="en-US"/>
        </w:rPr>
        <w:t>, 1985, World Health Organization: Geneva, Switzerland.</w:t>
      </w:r>
      <w:bookmarkEnd w:id="170"/>
    </w:p>
    <w:p w:rsidR="00251C87" w:rsidRPr="00251C87" w:rsidRDefault="00251C87" w:rsidP="00251C87">
      <w:pPr>
        <w:spacing w:after="0" w:line="240" w:lineRule="auto"/>
        <w:ind w:left="720" w:hanging="720"/>
        <w:jc w:val="both"/>
        <w:rPr>
          <w:rFonts w:ascii="Calibri" w:hAnsi="Calibri" w:cs="Arial"/>
          <w:noProof/>
          <w:sz w:val="20"/>
          <w:szCs w:val="16"/>
        </w:rPr>
      </w:pPr>
      <w:bookmarkStart w:id="171" w:name="_ENREF_48"/>
      <w:r w:rsidRPr="00251C87">
        <w:rPr>
          <w:rFonts w:ascii="Calibri" w:hAnsi="Calibri" w:cs="Arial"/>
          <w:noProof/>
          <w:sz w:val="20"/>
          <w:szCs w:val="16"/>
        </w:rPr>
        <w:t>48.</w:t>
      </w:r>
      <w:r w:rsidRPr="00251C87">
        <w:rPr>
          <w:rFonts w:ascii="Calibri" w:hAnsi="Calibri" w:cs="Arial"/>
          <w:noProof/>
          <w:sz w:val="20"/>
          <w:szCs w:val="16"/>
        </w:rPr>
        <w:tab/>
        <w:t xml:space="preserve">Solá, X.G., </w:t>
      </w:r>
      <w:r w:rsidRPr="00251C87">
        <w:rPr>
          <w:rFonts w:ascii="Calibri" w:hAnsi="Calibri" w:cs="Arial"/>
          <w:i/>
          <w:noProof/>
          <w:sz w:val="20"/>
          <w:szCs w:val="16"/>
        </w:rPr>
        <w:t>Calidad del Aire Interior</w:t>
      </w:r>
      <w:r w:rsidRPr="00251C87">
        <w:rPr>
          <w:rFonts w:ascii="Calibri" w:hAnsi="Calibri" w:cs="Arial"/>
          <w:noProof/>
          <w:sz w:val="20"/>
          <w:szCs w:val="16"/>
        </w:rPr>
        <w:t xml:space="preserve">, in </w:t>
      </w:r>
      <w:r w:rsidRPr="00251C87">
        <w:rPr>
          <w:rFonts w:ascii="Calibri" w:hAnsi="Calibri" w:cs="Arial"/>
          <w:i/>
          <w:noProof/>
          <w:sz w:val="20"/>
          <w:szCs w:val="16"/>
        </w:rPr>
        <w:t>Enciclopedia de Seguridad y Salud en el Trabajo</w:t>
      </w:r>
      <w:r w:rsidRPr="00251C87">
        <w:rPr>
          <w:rFonts w:ascii="Calibri" w:hAnsi="Calibri" w:cs="Arial"/>
          <w:noProof/>
          <w:sz w:val="20"/>
          <w:szCs w:val="16"/>
        </w:rPr>
        <w:t>.</w:t>
      </w:r>
      <w:bookmarkEnd w:id="171"/>
    </w:p>
    <w:p w:rsidR="00251C87" w:rsidRPr="00251C87" w:rsidRDefault="00251C87" w:rsidP="00251C87">
      <w:pPr>
        <w:spacing w:after="0" w:line="240" w:lineRule="auto"/>
        <w:ind w:left="720" w:hanging="720"/>
        <w:jc w:val="both"/>
        <w:rPr>
          <w:rFonts w:ascii="Calibri" w:hAnsi="Calibri" w:cs="Arial"/>
          <w:noProof/>
          <w:sz w:val="20"/>
          <w:szCs w:val="16"/>
          <w:lang w:val="en-US"/>
        </w:rPr>
      </w:pPr>
      <w:bookmarkStart w:id="172" w:name="_ENREF_49"/>
      <w:r w:rsidRPr="00251C87">
        <w:rPr>
          <w:rFonts w:ascii="Calibri" w:hAnsi="Calibri" w:cs="Arial"/>
          <w:noProof/>
          <w:sz w:val="20"/>
          <w:szCs w:val="16"/>
          <w:lang w:val="en-US"/>
        </w:rPr>
        <w:t>49.</w:t>
      </w:r>
      <w:r w:rsidRPr="00251C87">
        <w:rPr>
          <w:rFonts w:ascii="Calibri" w:hAnsi="Calibri" w:cs="Arial"/>
          <w:noProof/>
          <w:sz w:val="20"/>
          <w:szCs w:val="16"/>
          <w:lang w:val="en-US"/>
        </w:rPr>
        <w:tab/>
        <w:t xml:space="preserve">EPA. </w:t>
      </w:r>
      <w:r w:rsidRPr="00251C87">
        <w:rPr>
          <w:rFonts w:ascii="Calibri" w:hAnsi="Calibri" w:cs="Arial"/>
          <w:i/>
          <w:noProof/>
          <w:sz w:val="20"/>
          <w:szCs w:val="16"/>
          <w:lang w:val="en-US"/>
        </w:rPr>
        <w:t>A Brief Guide to Mold, Moisture, and Your Home</w:t>
      </w:r>
      <w:r w:rsidRPr="00251C87">
        <w:rPr>
          <w:rFonts w:ascii="Calibri" w:hAnsi="Calibri" w:cs="Arial"/>
          <w:noProof/>
          <w:sz w:val="20"/>
          <w:szCs w:val="16"/>
          <w:lang w:val="en-US"/>
        </w:rPr>
        <w:t xml:space="preserve">. 2012  [cited 2012 November 28th]; Available from: </w:t>
      </w:r>
      <w:hyperlink r:id="rId30" w:history="1">
        <w:r w:rsidRPr="00251C87">
          <w:rPr>
            <w:rStyle w:val="Hipervnculo"/>
            <w:rFonts w:ascii="Calibri" w:hAnsi="Calibri" w:cs="Arial"/>
            <w:noProof/>
            <w:sz w:val="20"/>
            <w:szCs w:val="16"/>
            <w:lang w:val="en-US"/>
          </w:rPr>
          <w:t>http://www.epa.gov/mold/preventionandcontrol.html</w:t>
        </w:r>
      </w:hyperlink>
      <w:r w:rsidRPr="00251C87">
        <w:rPr>
          <w:rFonts w:ascii="Calibri" w:hAnsi="Calibri" w:cs="Arial"/>
          <w:noProof/>
          <w:sz w:val="20"/>
          <w:szCs w:val="16"/>
          <w:lang w:val="en-US"/>
        </w:rPr>
        <w:t>.</w:t>
      </w:r>
      <w:bookmarkEnd w:id="172"/>
    </w:p>
    <w:p w:rsidR="00251C87" w:rsidRPr="00251C87" w:rsidRDefault="00251C87" w:rsidP="00251C87">
      <w:pPr>
        <w:spacing w:after="0" w:line="240" w:lineRule="auto"/>
        <w:ind w:left="720" w:hanging="720"/>
        <w:jc w:val="both"/>
        <w:rPr>
          <w:rFonts w:ascii="Calibri" w:hAnsi="Calibri" w:cs="Arial"/>
          <w:noProof/>
          <w:sz w:val="20"/>
          <w:szCs w:val="16"/>
          <w:lang w:val="en-US"/>
        </w:rPr>
      </w:pPr>
      <w:bookmarkStart w:id="173" w:name="_ENREF_50"/>
      <w:r w:rsidRPr="00251C87">
        <w:rPr>
          <w:rFonts w:ascii="Calibri" w:hAnsi="Calibri" w:cs="Arial"/>
          <w:noProof/>
          <w:sz w:val="20"/>
          <w:szCs w:val="16"/>
          <w:lang w:val="en-US"/>
        </w:rPr>
        <w:t>50.</w:t>
      </w:r>
      <w:r w:rsidRPr="00251C87">
        <w:rPr>
          <w:rFonts w:ascii="Calibri" w:hAnsi="Calibri" w:cs="Arial"/>
          <w:noProof/>
          <w:sz w:val="20"/>
          <w:szCs w:val="16"/>
          <w:lang w:val="en-US"/>
        </w:rPr>
        <w:tab/>
        <w:t xml:space="preserve">Heseltine, E. and J. Rosen, </w:t>
      </w:r>
      <w:r w:rsidRPr="00251C87">
        <w:rPr>
          <w:rFonts w:ascii="Calibri" w:hAnsi="Calibri" w:cs="Arial"/>
          <w:i/>
          <w:noProof/>
          <w:sz w:val="20"/>
          <w:szCs w:val="16"/>
          <w:lang w:val="en-US"/>
        </w:rPr>
        <w:t>WHO guidelines for indoor air quality: dampness and mould</w:t>
      </w:r>
      <w:r w:rsidRPr="00251C87">
        <w:rPr>
          <w:rFonts w:ascii="Calibri" w:hAnsi="Calibri" w:cs="Arial"/>
          <w:noProof/>
          <w:sz w:val="20"/>
          <w:szCs w:val="16"/>
          <w:lang w:val="en-US"/>
        </w:rPr>
        <w:t>, 2009, World Health Organization: Geneva, Switzerland.</w:t>
      </w:r>
      <w:bookmarkEnd w:id="173"/>
    </w:p>
    <w:p w:rsidR="00251C87" w:rsidRPr="00251C87" w:rsidRDefault="00251C87" w:rsidP="00251C87">
      <w:pPr>
        <w:spacing w:after="0" w:line="240" w:lineRule="auto"/>
        <w:ind w:left="720" w:hanging="720"/>
        <w:jc w:val="both"/>
        <w:rPr>
          <w:rFonts w:ascii="Calibri" w:hAnsi="Calibri" w:cs="Arial"/>
          <w:noProof/>
          <w:sz w:val="20"/>
          <w:szCs w:val="16"/>
          <w:lang w:val="en-US"/>
        </w:rPr>
      </w:pPr>
      <w:bookmarkStart w:id="174" w:name="_ENREF_51"/>
      <w:r w:rsidRPr="00251C87">
        <w:rPr>
          <w:rFonts w:ascii="Calibri" w:hAnsi="Calibri" w:cs="Arial"/>
          <w:noProof/>
          <w:sz w:val="20"/>
          <w:szCs w:val="16"/>
          <w:lang w:val="en-US"/>
        </w:rPr>
        <w:t>51.</w:t>
      </w:r>
      <w:r w:rsidRPr="00251C87">
        <w:rPr>
          <w:rFonts w:ascii="Calibri" w:hAnsi="Calibri" w:cs="Arial"/>
          <w:noProof/>
          <w:sz w:val="20"/>
          <w:szCs w:val="16"/>
          <w:lang w:val="en-US"/>
        </w:rPr>
        <w:tab/>
        <w:t xml:space="preserve">Bonnefoy, X., </w:t>
      </w:r>
      <w:r w:rsidRPr="00251C87">
        <w:rPr>
          <w:rFonts w:ascii="Calibri" w:hAnsi="Calibri" w:cs="Arial"/>
          <w:i/>
          <w:noProof/>
          <w:sz w:val="20"/>
          <w:szCs w:val="16"/>
          <w:lang w:val="en-US"/>
        </w:rPr>
        <w:t>Inadequate housing and health: an overview.</w:t>
      </w:r>
      <w:r w:rsidRPr="00251C87">
        <w:rPr>
          <w:rFonts w:ascii="Calibri" w:hAnsi="Calibri" w:cs="Arial"/>
          <w:noProof/>
          <w:sz w:val="20"/>
          <w:szCs w:val="16"/>
          <w:lang w:val="en-US"/>
        </w:rPr>
        <w:t xml:space="preserve"> International Journal of Environment and Pollution, 2007. </w:t>
      </w:r>
      <w:r w:rsidRPr="00251C87">
        <w:rPr>
          <w:rFonts w:ascii="Calibri" w:hAnsi="Calibri" w:cs="Arial"/>
          <w:b/>
          <w:noProof/>
          <w:sz w:val="20"/>
          <w:szCs w:val="16"/>
          <w:lang w:val="en-US"/>
        </w:rPr>
        <w:t>30</w:t>
      </w:r>
      <w:r w:rsidRPr="00251C87">
        <w:rPr>
          <w:rFonts w:ascii="Calibri" w:hAnsi="Calibri" w:cs="Arial"/>
          <w:noProof/>
          <w:sz w:val="20"/>
          <w:szCs w:val="16"/>
          <w:lang w:val="en-US"/>
        </w:rPr>
        <w:t>(3/4): p. 411-429.</w:t>
      </w:r>
      <w:bookmarkEnd w:id="174"/>
    </w:p>
    <w:p w:rsidR="00251C87" w:rsidRPr="00251C87" w:rsidRDefault="00251C87" w:rsidP="00251C87">
      <w:pPr>
        <w:spacing w:after="0" w:line="240" w:lineRule="auto"/>
        <w:ind w:left="720" w:hanging="720"/>
        <w:jc w:val="both"/>
        <w:rPr>
          <w:rFonts w:ascii="Calibri" w:hAnsi="Calibri" w:cs="Arial"/>
          <w:noProof/>
          <w:sz w:val="20"/>
          <w:szCs w:val="16"/>
          <w:lang w:val="en-US"/>
        </w:rPr>
      </w:pPr>
      <w:bookmarkStart w:id="175" w:name="_ENREF_52"/>
      <w:r w:rsidRPr="00251C87">
        <w:rPr>
          <w:rFonts w:ascii="Calibri" w:hAnsi="Calibri" w:cs="Arial"/>
          <w:noProof/>
          <w:sz w:val="20"/>
          <w:szCs w:val="16"/>
          <w:lang w:val="en-US"/>
        </w:rPr>
        <w:t>52.</w:t>
      </w:r>
      <w:r w:rsidRPr="00251C87">
        <w:rPr>
          <w:rFonts w:ascii="Calibri" w:hAnsi="Calibri" w:cs="Arial"/>
          <w:noProof/>
          <w:sz w:val="20"/>
          <w:szCs w:val="16"/>
          <w:lang w:val="en-US"/>
        </w:rPr>
        <w:tab/>
        <w:t xml:space="preserve">Barnes, P.J., B. Jonsson, and Klim, </w:t>
      </w:r>
      <w:r w:rsidRPr="00251C87">
        <w:rPr>
          <w:rFonts w:ascii="Calibri" w:hAnsi="Calibri" w:cs="Arial"/>
          <w:i/>
          <w:noProof/>
          <w:sz w:val="20"/>
          <w:szCs w:val="16"/>
          <w:lang w:val="en-US"/>
        </w:rPr>
        <w:t>The costs of asthma.</w:t>
      </w:r>
      <w:r w:rsidRPr="00251C87">
        <w:rPr>
          <w:rFonts w:ascii="Calibri" w:hAnsi="Calibri" w:cs="Arial"/>
          <w:noProof/>
          <w:sz w:val="20"/>
          <w:szCs w:val="16"/>
          <w:lang w:val="en-US"/>
        </w:rPr>
        <w:t xml:space="preserve"> European Respiratory Journal, 1996. </w:t>
      </w:r>
      <w:r w:rsidRPr="00251C87">
        <w:rPr>
          <w:rFonts w:ascii="Calibri" w:hAnsi="Calibri" w:cs="Arial"/>
          <w:b/>
          <w:noProof/>
          <w:sz w:val="20"/>
          <w:szCs w:val="16"/>
          <w:lang w:val="en-US"/>
        </w:rPr>
        <w:t>9</w:t>
      </w:r>
      <w:r w:rsidRPr="00251C87">
        <w:rPr>
          <w:rFonts w:ascii="Calibri" w:hAnsi="Calibri" w:cs="Arial"/>
          <w:noProof/>
          <w:sz w:val="20"/>
          <w:szCs w:val="16"/>
          <w:lang w:val="en-US"/>
        </w:rPr>
        <w:t>: p. 636–642.</w:t>
      </w:r>
      <w:bookmarkEnd w:id="175"/>
    </w:p>
    <w:p w:rsidR="00251C87" w:rsidRPr="00251C87" w:rsidRDefault="00251C87" w:rsidP="00251C87">
      <w:pPr>
        <w:spacing w:after="0" w:line="240" w:lineRule="auto"/>
        <w:ind w:left="720" w:hanging="720"/>
        <w:jc w:val="both"/>
        <w:rPr>
          <w:rFonts w:ascii="Calibri" w:hAnsi="Calibri" w:cs="Arial"/>
          <w:noProof/>
          <w:sz w:val="20"/>
          <w:szCs w:val="16"/>
          <w:lang w:val="en-US"/>
        </w:rPr>
      </w:pPr>
      <w:bookmarkStart w:id="176" w:name="_ENREF_53"/>
      <w:r w:rsidRPr="00251C87">
        <w:rPr>
          <w:rFonts w:ascii="Calibri" w:hAnsi="Calibri" w:cs="Arial"/>
          <w:noProof/>
          <w:sz w:val="20"/>
          <w:szCs w:val="16"/>
          <w:lang w:val="en-US"/>
        </w:rPr>
        <w:t>53.</w:t>
      </w:r>
      <w:r w:rsidRPr="00251C87">
        <w:rPr>
          <w:rFonts w:ascii="Calibri" w:hAnsi="Calibri" w:cs="Arial"/>
          <w:noProof/>
          <w:sz w:val="20"/>
          <w:szCs w:val="16"/>
          <w:lang w:val="en-US"/>
        </w:rPr>
        <w:tab/>
      </w:r>
      <w:r w:rsidRPr="00251C87">
        <w:rPr>
          <w:rFonts w:ascii="Calibri" w:hAnsi="Calibri" w:cs="Arial"/>
          <w:i/>
          <w:noProof/>
          <w:sz w:val="20"/>
          <w:szCs w:val="16"/>
          <w:lang w:val="en-US"/>
        </w:rPr>
        <w:t>2011 WHO Global Health Expenditure Atlas</w:t>
      </w:r>
      <w:r w:rsidRPr="00251C87">
        <w:rPr>
          <w:rFonts w:ascii="Calibri" w:hAnsi="Calibri" w:cs="Arial"/>
          <w:noProof/>
          <w:sz w:val="20"/>
          <w:szCs w:val="16"/>
          <w:lang w:val="en-US"/>
        </w:rPr>
        <w:t>, 2011, World Health Organization: Geneva, Switzerland.</w:t>
      </w:r>
      <w:bookmarkEnd w:id="176"/>
    </w:p>
    <w:p w:rsidR="00251C87" w:rsidRPr="00251C87" w:rsidRDefault="00251C87" w:rsidP="00251C87">
      <w:pPr>
        <w:spacing w:line="240" w:lineRule="auto"/>
        <w:ind w:left="720" w:hanging="720"/>
        <w:jc w:val="both"/>
        <w:rPr>
          <w:rFonts w:ascii="Calibri" w:hAnsi="Calibri" w:cs="Arial"/>
          <w:noProof/>
          <w:sz w:val="20"/>
          <w:szCs w:val="16"/>
          <w:lang w:val="en-US"/>
        </w:rPr>
      </w:pPr>
      <w:bookmarkStart w:id="177" w:name="_ENREF_54"/>
      <w:r w:rsidRPr="00251C87">
        <w:rPr>
          <w:rFonts w:ascii="Calibri" w:hAnsi="Calibri" w:cs="Arial"/>
          <w:noProof/>
          <w:sz w:val="20"/>
          <w:szCs w:val="16"/>
          <w:lang w:val="en-US"/>
        </w:rPr>
        <w:t>54.</w:t>
      </w:r>
      <w:r w:rsidRPr="00251C87">
        <w:rPr>
          <w:rFonts w:ascii="Calibri" w:hAnsi="Calibri" w:cs="Arial"/>
          <w:noProof/>
          <w:sz w:val="20"/>
          <w:szCs w:val="16"/>
          <w:lang w:val="en-US"/>
        </w:rPr>
        <w:tab/>
        <w:t xml:space="preserve">Keivani, R., et al., </w:t>
      </w:r>
      <w:r w:rsidRPr="00251C87">
        <w:rPr>
          <w:rFonts w:ascii="Calibri" w:hAnsi="Calibri" w:cs="Arial"/>
          <w:i/>
          <w:noProof/>
          <w:sz w:val="20"/>
          <w:szCs w:val="16"/>
          <w:lang w:val="en-US"/>
        </w:rPr>
        <w:t>Green Jobs Creation Through Sustainable Refurbishment in the Developing Countries</w:t>
      </w:r>
      <w:r w:rsidRPr="00251C87">
        <w:rPr>
          <w:rFonts w:ascii="Calibri" w:hAnsi="Calibri" w:cs="Arial"/>
          <w:noProof/>
          <w:sz w:val="20"/>
          <w:szCs w:val="16"/>
          <w:lang w:val="en-US"/>
        </w:rPr>
        <w:t>, 2010, International Labour Organization: Geneva, Switzerland.</w:t>
      </w:r>
      <w:bookmarkEnd w:id="177"/>
    </w:p>
    <w:p w:rsidR="00251C87" w:rsidRDefault="00251C87" w:rsidP="00251C87">
      <w:pPr>
        <w:spacing w:line="240" w:lineRule="auto"/>
        <w:jc w:val="both"/>
        <w:rPr>
          <w:rFonts w:ascii="Calibri" w:hAnsi="Calibri" w:cs="Arial"/>
          <w:noProof/>
          <w:sz w:val="20"/>
          <w:szCs w:val="16"/>
          <w:lang w:val="en-US"/>
        </w:rPr>
      </w:pPr>
    </w:p>
    <w:p w:rsidR="00841D0E" w:rsidRPr="008B43F6" w:rsidRDefault="00CA0FA2" w:rsidP="00C92E54">
      <w:pPr>
        <w:ind w:left="360"/>
        <w:rPr>
          <w:lang w:val="en-US"/>
        </w:rPr>
      </w:pPr>
      <w:r w:rsidRPr="008B43F6">
        <w:rPr>
          <w:rFonts w:cs="Arial"/>
          <w:sz w:val="16"/>
          <w:szCs w:val="16"/>
        </w:rPr>
        <w:fldChar w:fldCharType="end"/>
      </w:r>
    </w:p>
    <w:p w:rsidR="00A653AB" w:rsidRPr="008B43F6" w:rsidRDefault="00A653AB" w:rsidP="00C92E54">
      <w:pPr>
        <w:pStyle w:val="Textonotapie"/>
        <w:spacing w:line="276" w:lineRule="auto"/>
        <w:jc w:val="both"/>
        <w:rPr>
          <w:rFonts w:cs="Arial"/>
          <w:color w:val="1F497D" w:themeColor="text2"/>
          <w:sz w:val="16"/>
          <w:szCs w:val="16"/>
          <w:lang w:val="en-US"/>
        </w:rPr>
      </w:pPr>
    </w:p>
    <w:sectPr w:rsidR="00A653AB" w:rsidRPr="008B43F6" w:rsidSect="00233779">
      <w:footerReference w:type="default" r:id="rId31"/>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F7C" w:rsidRDefault="00371F7C" w:rsidP="00363264">
      <w:pPr>
        <w:spacing w:after="0" w:line="240" w:lineRule="auto"/>
      </w:pPr>
      <w:r>
        <w:separator/>
      </w:r>
    </w:p>
  </w:endnote>
  <w:endnote w:type="continuationSeparator" w:id="0">
    <w:p w:rsidR="00371F7C" w:rsidRDefault="00371F7C" w:rsidP="00363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PresidenciaFina">
    <w:panose1 w:val="00000000000000000000"/>
    <w:charset w:val="00"/>
    <w:family w:val="swiss"/>
    <w:notTrueType/>
    <w:pitch w:val="default"/>
    <w:sig w:usb0="00000003" w:usb1="00000000" w:usb2="00000000" w:usb3="00000000" w:csb0="00000001" w:csb1="00000000"/>
  </w:font>
  <w:font w:name="PresidenciaFina-Italic">
    <w:panose1 w:val="00000000000000000000"/>
    <w:charset w:val="00"/>
    <w:family w:val="swiss"/>
    <w:notTrueType/>
    <w:pitch w:val="default"/>
    <w:sig w:usb0="00000003" w:usb1="00000000" w:usb2="00000000" w:usb3="00000000" w:csb0="00000001"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 w:name="HelveticaNeue-Italic">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388687"/>
      <w:docPartObj>
        <w:docPartGallery w:val="Page Numbers (Bottom of Page)"/>
        <w:docPartUnique/>
      </w:docPartObj>
    </w:sdtPr>
    <w:sdtContent>
      <w:p w:rsidR="00EA15E2" w:rsidRDefault="00EA15E2">
        <w:pPr>
          <w:pStyle w:val="Piedepgina"/>
          <w:jc w:val="right"/>
        </w:pPr>
        <w:r>
          <w:fldChar w:fldCharType="begin"/>
        </w:r>
        <w:r>
          <w:instrText>PAGE   \* MERGEFORMAT</w:instrText>
        </w:r>
        <w:r>
          <w:fldChar w:fldCharType="separate"/>
        </w:r>
        <w:r w:rsidR="00DE4C4C" w:rsidRPr="00DE4C4C">
          <w:rPr>
            <w:noProof/>
            <w:lang w:val="es-ES"/>
          </w:rPr>
          <w:t>2</w:t>
        </w:r>
        <w:r>
          <w:fldChar w:fldCharType="end"/>
        </w:r>
        <w:r w:rsidR="00DE4C4C">
          <w:t xml:space="preserve"> de 59</w:t>
        </w:r>
      </w:p>
    </w:sdtContent>
  </w:sdt>
  <w:p w:rsidR="00EA15E2" w:rsidRDefault="00EA15E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F7C" w:rsidRDefault="00371F7C" w:rsidP="00363264">
      <w:pPr>
        <w:spacing w:after="0" w:line="240" w:lineRule="auto"/>
      </w:pPr>
      <w:r>
        <w:separator/>
      </w:r>
    </w:p>
  </w:footnote>
  <w:footnote w:type="continuationSeparator" w:id="0">
    <w:p w:rsidR="00371F7C" w:rsidRDefault="00371F7C" w:rsidP="00363264">
      <w:pPr>
        <w:spacing w:after="0" w:line="240" w:lineRule="auto"/>
      </w:pPr>
      <w:r>
        <w:continuationSeparator/>
      </w:r>
    </w:p>
  </w:footnote>
  <w:footnote w:id="1">
    <w:p w:rsidR="00EA15E2" w:rsidRPr="00AD2ACA" w:rsidRDefault="00EA15E2" w:rsidP="00131B1C">
      <w:pPr>
        <w:rPr>
          <w:sz w:val="18"/>
          <w:szCs w:val="18"/>
        </w:rPr>
      </w:pPr>
      <w:r>
        <w:rPr>
          <w:rStyle w:val="Refdenotaalpie"/>
        </w:rPr>
        <w:footnoteRef/>
      </w:r>
      <w:r>
        <w:t xml:space="preserve"> </w:t>
      </w:r>
      <w:r w:rsidRPr="00AD2ACA">
        <w:rPr>
          <w:sz w:val="18"/>
          <w:szCs w:val="18"/>
        </w:rPr>
        <w:t>Se considera que una localidad alcanza la temperatura media mínima en verano, cuando alcanza el límite indicado durante tres o más años de los últimos cinco de que se disponga de la información correspondiente. Se considerará que durante un año alcanzó el limite indicado cuando registre la temperatura media mensual durante dos meses consecutivos o más, según los reportes elaborados por la Secretaría de Medio Ambiente y Recursos Naturales (SEMARNAT)</w:t>
      </w:r>
      <w:r>
        <w:rPr>
          <w:sz w:val="18"/>
          <w:szCs w:val="18"/>
        </w:rPr>
        <w:t>.</w:t>
      </w:r>
    </w:p>
    <w:p w:rsidR="00EA15E2" w:rsidRDefault="00EA15E2">
      <w:pPr>
        <w:pStyle w:val="Textonotapie"/>
      </w:pPr>
    </w:p>
  </w:footnote>
  <w:footnote w:id="2">
    <w:p w:rsidR="00EA15E2" w:rsidRDefault="00EA15E2">
      <w:pPr>
        <w:pStyle w:val="Textonotapie"/>
      </w:pPr>
      <w:r>
        <w:rPr>
          <w:rStyle w:val="Refdenotaalpie"/>
        </w:rPr>
        <w:footnoteRef/>
      </w:r>
      <w:r>
        <w:t xml:space="preserve"> Se hacen las extrapolaciones de las Encuestas Nacionales Ingreso Gasto de los Hogares de 2004 y 2006, debido a que en estas encuestas se tiene el desagregado del gasto monetario para energía eléctrica, gas y leña por decil de hogares, y que las ENIGH 2008  y 2010 ya no lo contienen.</w:t>
      </w:r>
    </w:p>
  </w:footnote>
  <w:footnote w:id="3">
    <w:p w:rsidR="00EA15E2" w:rsidRPr="00034369" w:rsidRDefault="00EA15E2">
      <w:pPr>
        <w:pStyle w:val="Textonotapie"/>
        <w:rPr>
          <w:sz w:val="18"/>
          <w:szCs w:val="18"/>
        </w:rPr>
      </w:pPr>
      <w:r w:rsidRPr="00034369">
        <w:rPr>
          <w:rStyle w:val="Refdenotaalpie"/>
        </w:rPr>
        <w:footnoteRef/>
      </w:r>
      <w:r w:rsidRPr="00034369">
        <w:t xml:space="preserve"> </w:t>
      </w:r>
      <w:r w:rsidRPr="00034369">
        <w:rPr>
          <w:sz w:val="18"/>
          <w:szCs w:val="18"/>
        </w:rPr>
        <w:t>Elaboración propia basada en extrapolaciones de las ENIGH-04 y ENIGH-06.</w:t>
      </w:r>
    </w:p>
  </w:footnote>
  <w:footnote w:id="4">
    <w:p w:rsidR="00EA15E2" w:rsidRPr="00034369" w:rsidRDefault="00EA15E2">
      <w:pPr>
        <w:pStyle w:val="Textonotapie"/>
        <w:rPr>
          <w:sz w:val="18"/>
          <w:szCs w:val="18"/>
        </w:rPr>
      </w:pPr>
      <w:r w:rsidRPr="00034369">
        <w:rPr>
          <w:rStyle w:val="Refdenotaalpie"/>
          <w:sz w:val="18"/>
          <w:szCs w:val="18"/>
        </w:rPr>
        <w:footnoteRef/>
      </w:r>
      <w:r w:rsidRPr="00034369">
        <w:rPr>
          <w:sz w:val="18"/>
          <w:szCs w:val="18"/>
        </w:rPr>
        <w:t xml:space="preserve"> </w:t>
      </w:r>
      <w:r w:rsidRPr="00034369">
        <w:rPr>
          <w:rFonts w:cs="Arial"/>
          <w:sz w:val="18"/>
          <w:szCs w:val="18"/>
        </w:rPr>
        <w:t>Entre el 40 y 50% del consumo de gas en un hogar se debe a la cocción de alimentos, lo que deja el otro 50% para calentamiento de agua</w:t>
      </w:r>
    </w:p>
  </w:footnote>
  <w:footnote w:id="5">
    <w:p w:rsidR="00EA15E2" w:rsidRDefault="00EA15E2">
      <w:pPr>
        <w:pStyle w:val="Textonotapie"/>
      </w:pPr>
      <w:r>
        <w:rPr>
          <w:rStyle w:val="Refdenotaalpie"/>
        </w:rPr>
        <w:footnoteRef/>
      </w:r>
      <w:r>
        <w:t xml:space="preserve"> DAC significa Doméstico de Alto Consumo</w:t>
      </w:r>
    </w:p>
  </w:footnote>
  <w:footnote w:id="6">
    <w:p w:rsidR="00EA15E2" w:rsidRPr="00034369" w:rsidRDefault="00EA15E2">
      <w:pPr>
        <w:pStyle w:val="Textonotapie"/>
        <w:rPr>
          <w:sz w:val="18"/>
          <w:szCs w:val="18"/>
        </w:rPr>
      </w:pPr>
      <w:r w:rsidRPr="00034369">
        <w:rPr>
          <w:rStyle w:val="Refdenotaalpie"/>
          <w:sz w:val="18"/>
          <w:szCs w:val="18"/>
        </w:rPr>
        <w:footnoteRef/>
      </w:r>
      <w:r w:rsidRPr="00034369">
        <w:rPr>
          <w:sz w:val="18"/>
          <w:szCs w:val="18"/>
        </w:rPr>
        <w:t xml:space="preserve"> Elaboración propia con datos del Sistema de Información Energética (SENER).</w:t>
      </w:r>
    </w:p>
  </w:footnote>
  <w:footnote w:id="7">
    <w:p w:rsidR="00EA15E2" w:rsidRDefault="00EA15E2">
      <w:pPr>
        <w:pStyle w:val="Textonotapie"/>
      </w:pPr>
      <w:r>
        <w:rPr>
          <w:rStyle w:val="Refdenotaalpie"/>
        </w:rPr>
        <w:footnoteRef/>
      </w:r>
      <w:r>
        <w:t xml:space="preserve"> Se usan los factores de emisión del IPCC</w:t>
      </w:r>
    </w:p>
  </w:footnote>
  <w:footnote w:id="8">
    <w:p w:rsidR="00EA15E2" w:rsidRPr="007C6642" w:rsidRDefault="00EA15E2" w:rsidP="002C0CCF">
      <w:pPr>
        <w:autoSpaceDE w:val="0"/>
        <w:autoSpaceDN w:val="0"/>
        <w:adjustRightInd w:val="0"/>
        <w:spacing w:after="0" w:line="240" w:lineRule="auto"/>
        <w:rPr>
          <w:lang w:val="es-ES"/>
        </w:rPr>
      </w:pPr>
      <w:r>
        <w:rPr>
          <w:rStyle w:val="Refdenotaalpie"/>
        </w:rPr>
        <w:footnoteRef/>
      </w:r>
      <w:r>
        <w:rPr>
          <w:rFonts w:cstheme="minorHAnsi"/>
          <w:lang w:val="es-ES"/>
        </w:rPr>
        <w:t>Esta</w:t>
      </w:r>
      <w:r w:rsidRPr="00FC7E48">
        <w:rPr>
          <w:rFonts w:cstheme="minorHAnsi"/>
          <w:lang w:val="es-ES"/>
        </w:rPr>
        <w:t xml:space="preserve"> división está basada en la clasificación presentada por Ürge-Vorsatzet</w:t>
      </w:r>
      <w:r>
        <w:rPr>
          <w:rFonts w:cstheme="minorHAnsi"/>
          <w:lang w:val="es-ES"/>
        </w:rPr>
        <w:t xml:space="preserve"> al</w:t>
      </w:r>
      <w:r w:rsidRPr="00FC7E48">
        <w:rPr>
          <w:rFonts w:cstheme="minorHAnsi"/>
          <w:lang w:val="es-ES"/>
        </w:rPr>
        <w:t>.</w:t>
      </w:r>
    </w:p>
  </w:footnote>
  <w:footnote w:id="9">
    <w:p w:rsidR="00EA15E2" w:rsidRDefault="00EA15E2" w:rsidP="002C0CCF">
      <w:pPr>
        <w:pStyle w:val="Textonotapie"/>
      </w:pPr>
      <w:r>
        <w:rPr>
          <w:rStyle w:val="Refdenotaalpie"/>
        </w:rPr>
        <w:footnoteRef/>
      </w:r>
      <w:r>
        <w:t xml:space="preserve"> </w:t>
      </w:r>
      <w:r w:rsidRPr="007C66D7">
        <w:t>http://es.wikipedia.org/wiki/Humedad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1051"/>
    <w:multiLevelType w:val="multilevel"/>
    <w:tmpl w:val="5EAEBFBE"/>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2AC1E35"/>
    <w:multiLevelType w:val="hybridMultilevel"/>
    <w:tmpl w:val="34608F3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05566290"/>
    <w:multiLevelType w:val="multilevel"/>
    <w:tmpl w:val="15221D0E"/>
    <w:lvl w:ilvl="0">
      <w:start w:val="2"/>
      <w:numFmt w:val="decimal"/>
      <w:lvlText w:val="%1"/>
      <w:lvlJc w:val="left"/>
      <w:pPr>
        <w:ind w:left="360" w:hanging="36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070869C9"/>
    <w:multiLevelType w:val="hybridMultilevel"/>
    <w:tmpl w:val="334EC884"/>
    <w:lvl w:ilvl="0" w:tplc="0409000F">
      <w:start w:val="1"/>
      <w:numFmt w:val="decimal"/>
      <w:lvlText w:val="%1."/>
      <w:lvlJc w:val="left"/>
      <w:pPr>
        <w:ind w:left="928"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4">
    <w:nsid w:val="0B2A7B81"/>
    <w:multiLevelType w:val="multilevel"/>
    <w:tmpl w:val="AD88C66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E463B95"/>
    <w:multiLevelType w:val="hybridMultilevel"/>
    <w:tmpl w:val="2734801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18E1E8C"/>
    <w:multiLevelType w:val="multilevel"/>
    <w:tmpl w:val="120CC7D0"/>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7484879"/>
    <w:multiLevelType w:val="hybridMultilevel"/>
    <w:tmpl w:val="074E9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3E3675"/>
    <w:multiLevelType w:val="hybridMultilevel"/>
    <w:tmpl w:val="C38A1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9B558ED"/>
    <w:multiLevelType w:val="hybridMultilevel"/>
    <w:tmpl w:val="7A0E01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C9A06D5"/>
    <w:multiLevelType w:val="multilevel"/>
    <w:tmpl w:val="E320EF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1F9C4D39"/>
    <w:multiLevelType w:val="hybridMultilevel"/>
    <w:tmpl w:val="97CA9E66"/>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12">
    <w:nsid w:val="21B83578"/>
    <w:multiLevelType w:val="hybridMultilevel"/>
    <w:tmpl w:val="E6DE962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33268B2"/>
    <w:multiLevelType w:val="hybridMultilevel"/>
    <w:tmpl w:val="7370286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23B045AF"/>
    <w:multiLevelType w:val="hybridMultilevel"/>
    <w:tmpl w:val="1C8CA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77D2669"/>
    <w:multiLevelType w:val="multilevel"/>
    <w:tmpl w:val="7AB60E5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9735F84"/>
    <w:multiLevelType w:val="hybridMultilevel"/>
    <w:tmpl w:val="0E680C26"/>
    <w:lvl w:ilvl="0" w:tplc="0409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AED7ADC"/>
    <w:multiLevelType w:val="hybridMultilevel"/>
    <w:tmpl w:val="579C90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nsid w:val="2EDF4F11"/>
    <w:multiLevelType w:val="hybridMultilevel"/>
    <w:tmpl w:val="1BA4DE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3AF74D6"/>
    <w:multiLevelType w:val="hybridMultilevel"/>
    <w:tmpl w:val="481851F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79E7518"/>
    <w:multiLevelType w:val="hybridMultilevel"/>
    <w:tmpl w:val="F9DAE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382C13"/>
    <w:multiLevelType w:val="hybridMultilevel"/>
    <w:tmpl w:val="334EC884"/>
    <w:lvl w:ilvl="0" w:tplc="0409000F">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2">
    <w:nsid w:val="466B42CA"/>
    <w:multiLevelType w:val="hybridMultilevel"/>
    <w:tmpl w:val="010C6E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853490D"/>
    <w:multiLevelType w:val="hybridMultilevel"/>
    <w:tmpl w:val="97C012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B287FA3"/>
    <w:multiLevelType w:val="hybridMultilevel"/>
    <w:tmpl w:val="EF9273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CDB220D"/>
    <w:multiLevelType w:val="hybridMultilevel"/>
    <w:tmpl w:val="050C0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1963436"/>
    <w:multiLevelType w:val="hybridMultilevel"/>
    <w:tmpl w:val="81C600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19F0176"/>
    <w:multiLevelType w:val="hybridMultilevel"/>
    <w:tmpl w:val="67A495AE"/>
    <w:lvl w:ilvl="0" w:tplc="E05E1FD8">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CA02A21"/>
    <w:multiLevelType w:val="hybridMultilevel"/>
    <w:tmpl w:val="7910D514"/>
    <w:lvl w:ilvl="0" w:tplc="2E5C079A">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DED0691"/>
    <w:multiLevelType w:val="hybridMultilevel"/>
    <w:tmpl w:val="22C089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139193D"/>
    <w:multiLevelType w:val="hybridMultilevel"/>
    <w:tmpl w:val="F24A8346"/>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nsid w:val="61D450E0"/>
    <w:multiLevelType w:val="hybridMultilevel"/>
    <w:tmpl w:val="DFF6800E"/>
    <w:lvl w:ilvl="0" w:tplc="04090001">
      <w:start w:val="1"/>
      <w:numFmt w:val="bullet"/>
      <w:lvlText w:val=""/>
      <w:lvlJc w:val="left"/>
      <w:pPr>
        <w:ind w:left="106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32">
    <w:nsid w:val="6275774C"/>
    <w:multiLevelType w:val="multilevel"/>
    <w:tmpl w:val="E8AEE2A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3643E65"/>
    <w:multiLevelType w:val="hybridMultilevel"/>
    <w:tmpl w:val="BA98D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98B4223"/>
    <w:multiLevelType w:val="hybridMultilevel"/>
    <w:tmpl w:val="E60AB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9B34DA3"/>
    <w:multiLevelType w:val="hybridMultilevel"/>
    <w:tmpl w:val="18B2A5B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B4C13CC"/>
    <w:multiLevelType w:val="multilevel"/>
    <w:tmpl w:val="48E4A0D0"/>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6BD76733"/>
    <w:multiLevelType w:val="multilevel"/>
    <w:tmpl w:val="9B9C27F2"/>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71BB5D67"/>
    <w:multiLevelType w:val="hybridMultilevel"/>
    <w:tmpl w:val="F348B3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6125548"/>
    <w:multiLevelType w:val="hybridMultilevel"/>
    <w:tmpl w:val="C548EB40"/>
    <w:lvl w:ilvl="0" w:tplc="0409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9F158FE"/>
    <w:multiLevelType w:val="hybridMultilevel"/>
    <w:tmpl w:val="C89E04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B3C797F"/>
    <w:multiLevelType w:val="hybridMultilevel"/>
    <w:tmpl w:val="9A1470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C466A68"/>
    <w:multiLevelType w:val="hybridMultilevel"/>
    <w:tmpl w:val="DA849EB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CF16A24"/>
    <w:multiLevelType w:val="hybridMultilevel"/>
    <w:tmpl w:val="B06A5E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E781970"/>
    <w:multiLevelType w:val="hybridMultilevel"/>
    <w:tmpl w:val="18CEF826"/>
    <w:lvl w:ilvl="0" w:tplc="E05E1FD8">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8"/>
  </w:num>
  <w:num w:numId="2">
    <w:abstractNumId w:val="10"/>
  </w:num>
  <w:num w:numId="3">
    <w:abstractNumId w:val="24"/>
  </w:num>
  <w:num w:numId="4">
    <w:abstractNumId w:val="13"/>
  </w:num>
  <w:num w:numId="5">
    <w:abstractNumId w:val="11"/>
  </w:num>
  <w:num w:numId="6">
    <w:abstractNumId w:val="44"/>
  </w:num>
  <w:num w:numId="7">
    <w:abstractNumId w:val="27"/>
  </w:num>
  <w:num w:numId="8">
    <w:abstractNumId w:val="33"/>
  </w:num>
  <w:num w:numId="9">
    <w:abstractNumId w:val="29"/>
  </w:num>
  <w:num w:numId="10">
    <w:abstractNumId w:val="31"/>
  </w:num>
  <w:num w:numId="11">
    <w:abstractNumId w:val="30"/>
  </w:num>
  <w:num w:numId="12">
    <w:abstractNumId w:val="16"/>
  </w:num>
  <w:num w:numId="13">
    <w:abstractNumId w:val="17"/>
  </w:num>
  <w:num w:numId="14">
    <w:abstractNumId w:val="12"/>
  </w:num>
  <w:num w:numId="15">
    <w:abstractNumId w:val="1"/>
  </w:num>
  <w:num w:numId="16">
    <w:abstractNumId w:val="43"/>
  </w:num>
  <w:num w:numId="17">
    <w:abstractNumId w:val="39"/>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9"/>
  </w:num>
  <w:num w:numId="21">
    <w:abstractNumId w:val="25"/>
  </w:num>
  <w:num w:numId="22">
    <w:abstractNumId w:val="19"/>
  </w:num>
  <w:num w:numId="23">
    <w:abstractNumId w:val="23"/>
  </w:num>
  <w:num w:numId="24">
    <w:abstractNumId w:val="38"/>
  </w:num>
  <w:num w:numId="25">
    <w:abstractNumId w:val="8"/>
  </w:num>
  <w:num w:numId="26">
    <w:abstractNumId w:val="41"/>
  </w:num>
  <w:num w:numId="27">
    <w:abstractNumId w:val="15"/>
  </w:num>
  <w:num w:numId="28">
    <w:abstractNumId w:val="21"/>
  </w:num>
  <w:num w:numId="29">
    <w:abstractNumId w:val="37"/>
  </w:num>
  <w:num w:numId="30">
    <w:abstractNumId w:val="0"/>
  </w:num>
  <w:num w:numId="31">
    <w:abstractNumId w:val="36"/>
  </w:num>
  <w:num w:numId="32">
    <w:abstractNumId w:val="4"/>
  </w:num>
  <w:num w:numId="33">
    <w:abstractNumId w:val="2"/>
  </w:num>
  <w:num w:numId="34">
    <w:abstractNumId w:val="6"/>
  </w:num>
  <w:num w:numId="35">
    <w:abstractNumId w:val="3"/>
  </w:num>
  <w:num w:numId="36">
    <w:abstractNumId w:val="7"/>
  </w:num>
  <w:num w:numId="37">
    <w:abstractNumId w:val="20"/>
  </w:num>
  <w:num w:numId="38">
    <w:abstractNumId w:val="32"/>
  </w:num>
  <w:num w:numId="39">
    <w:abstractNumId w:val="34"/>
  </w:num>
  <w:num w:numId="40">
    <w:abstractNumId w:val="26"/>
  </w:num>
  <w:num w:numId="41">
    <w:abstractNumId w:val="40"/>
  </w:num>
  <w:num w:numId="42">
    <w:abstractNumId w:val="22"/>
  </w:num>
  <w:num w:numId="43">
    <w:abstractNumId w:val="42"/>
  </w:num>
  <w:num w:numId="44">
    <w:abstractNumId w:val="35"/>
  </w:num>
  <w:num w:numId="45">
    <w:abstractNumId w:val="5"/>
  </w:num>
  <w:num w:numId="46">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Numbered&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0v9wvp5gtw2r4efsfnxdz01xvzddafaaa0w&quot;&gt;EDIFICIOS&lt;record-ids&gt;&lt;item&gt;32&lt;/item&gt;&lt;item&gt;44&lt;/item&gt;&lt;item&gt;54&lt;/item&gt;&lt;item&gt;55&lt;/item&gt;&lt;/record-ids&gt;&lt;/item&gt;&lt;/Libraries&gt;"/>
  </w:docVars>
  <w:rsids>
    <w:rsidRoot w:val="005C7E01"/>
    <w:rsid w:val="00021C5D"/>
    <w:rsid w:val="0002373D"/>
    <w:rsid w:val="00027D3B"/>
    <w:rsid w:val="00034369"/>
    <w:rsid w:val="00046D15"/>
    <w:rsid w:val="00057253"/>
    <w:rsid w:val="00072F36"/>
    <w:rsid w:val="00083747"/>
    <w:rsid w:val="00093F4A"/>
    <w:rsid w:val="000961CA"/>
    <w:rsid w:val="000A5100"/>
    <w:rsid w:val="000B17A4"/>
    <w:rsid w:val="000B5303"/>
    <w:rsid w:val="000D415E"/>
    <w:rsid w:val="000E33F4"/>
    <w:rsid w:val="000F0683"/>
    <w:rsid w:val="000F1A2C"/>
    <w:rsid w:val="000F3434"/>
    <w:rsid w:val="000F34E8"/>
    <w:rsid w:val="00113A5E"/>
    <w:rsid w:val="00131B1C"/>
    <w:rsid w:val="0013561F"/>
    <w:rsid w:val="00135E94"/>
    <w:rsid w:val="00144311"/>
    <w:rsid w:val="00145324"/>
    <w:rsid w:val="00152F07"/>
    <w:rsid w:val="00165CC7"/>
    <w:rsid w:val="0017584E"/>
    <w:rsid w:val="00176AC8"/>
    <w:rsid w:val="001927B4"/>
    <w:rsid w:val="0019404F"/>
    <w:rsid w:val="001A074C"/>
    <w:rsid w:val="001A42F5"/>
    <w:rsid w:val="001C1A21"/>
    <w:rsid w:val="001C3EA6"/>
    <w:rsid w:val="001D3CBD"/>
    <w:rsid w:val="001E4A49"/>
    <w:rsid w:val="001E78CB"/>
    <w:rsid w:val="001F5196"/>
    <w:rsid w:val="001F5713"/>
    <w:rsid w:val="00200B51"/>
    <w:rsid w:val="0021494F"/>
    <w:rsid w:val="00217C20"/>
    <w:rsid w:val="00220C19"/>
    <w:rsid w:val="002314A7"/>
    <w:rsid w:val="00231FCB"/>
    <w:rsid w:val="00233779"/>
    <w:rsid w:val="00251C87"/>
    <w:rsid w:val="002550BC"/>
    <w:rsid w:val="0026104C"/>
    <w:rsid w:val="00267EB3"/>
    <w:rsid w:val="0027678B"/>
    <w:rsid w:val="0028162D"/>
    <w:rsid w:val="00283965"/>
    <w:rsid w:val="002A29B6"/>
    <w:rsid w:val="002A53A9"/>
    <w:rsid w:val="002A65DF"/>
    <w:rsid w:val="002A7B2A"/>
    <w:rsid w:val="002B128C"/>
    <w:rsid w:val="002C0CCF"/>
    <w:rsid w:val="002C7AFB"/>
    <w:rsid w:val="002C7FDB"/>
    <w:rsid w:val="002D69BB"/>
    <w:rsid w:val="002F4E7A"/>
    <w:rsid w:val="0030540F"/>
    <w:rsid w:val="00307DB9"/>
    <w:rsid w:val="003113E5"/>
    <w:rsid w:val="0032521B"/>
    <w:rsid w:val="003265E8"/>
    <w:rsid w:val="00363264"/>
    <w:rsid w:val="00371F7C"/>
    <w:rsid w:val="00373BCC"/>
    <w:rsid w:val="00392837"/>
    <w:rsid w:val="0039754C"/>
    <w:rsid w:val="003C2467"/>
    <w:rsid w:val="003C4961"/>
    <w:rsid w:val="003C642D"/>
    <w:rsid w:val="003D7F23"/>
    <w:rsid w:val="003E5649"/>
    <w:rsid w:val="00427EFE"/>
    <w:rsid w:val="00440342"/>
    <w:rsid w:val="00462872"/>
    <w:rsid w:val="00473950"/>
    <w:rsid w:val="00473D0D"/>
    <w:rsid w:val="0047532E"/>
    <w:rsid w:val="00486591"/>
    <w:rsid w:val="00497A31"/>
    <w:rsid w:val="004B78EE"/>
    <w:rsid w:val="004D1175"/>
    <w:rsid w:val="004D5547"/>
    <w:rsid w:val="004D6456"/>
    <w:rsid w:val="004E3D3C"/>
    <w:rsid w:val="004E4DE8"/>
    <w:rsid w:val="00550085"/>
    <w:rsid w:val="005568B2"/>
    <w:rsid w:val="00563AB2"/>
    <w:rsid w:val="005764E6"/>
    <w:rsid w:val="00580644"/>
    <w:rsid w:val="00581069"/>
    <w:rsid w:val="005A4C91"/>
    <w:rsid w:val="005C43E9"/>
    <w:rsid w:val="005C7E01"/>
    <w:rsid w:val="005D71FE"/>
    <w:rsid w:val="005F38C9"/>
    <w:rsid w:val="005F559E"/>
    <w:rsid w:val="005F69F0"/>
    <w:rsid w:val="005F764E"/>
    <w:rsid w:val="005F7B70"/>
    <w:rsid w:val="00604A27"/>
    <w:rsid w:val="00604F72"/>
    <w:rsid w:val="00606D3C"/>
    <w:rsid w:val="00611CBA"/>
    <w:rsid w:val="00612C3F"/>
    <w:rsid w:val="006224DD"/>
    <w:rsid w:val="00623DC8"/>
    <w:rsid w:val="00631B17"/>
    <w:rsid w:val="00634C80"/>
    <w:rsid w:val="00636F36"/>
    <w:rsid w:val="00655172"/>
    <w:rsid w:val="00660CFE"/>
    <w:rsid w:val="00682EE9"/>
    <w:rsid w:val="00690DE5"/>
    <w:rsid w:val="00695BE1"/>
    <w:rsid w:val="006B0DAD"/>
    <w:rsid w:val="006B19F8"/>
    <w:rsid w:val="006B6AF0"/>
    <w:rsid w:val="006E04D5"/>
    <w:rsid w:val="006E5B4A"/>
    <w:rsid w:val="006E6991"/>
    <w:rsid w:val="006E7134"/>
    <w:rsid w:val="006F4445"/>
    <w:rsid w:val="006F6A64"/>
    <w:rsid w:val="007047A4"/>
    <w:rsid w:val="00711C7B"/>
    <w:rsid w:val="0072172C"/>
    <w:rsid w:val="00724C18"/>
    <w:rsid w:val="00740F8E"/>
    <w:rsid w:val="007411DD"/>
    <w:rsid w:val="0074284C"/>
    <w:rsid w:val="00756D50"/>
    <w:rsid w:val="00757A34"/>
    <w:rsid w:val="00761DAC"/>
    <w:rsid w:val="00772765"/>
    <w:rsid w:val="00773BFA"/>
    <w:rsid w:val="00785D64"/>
    <w:rsid w:val="007959D8"/>
    <w:rsid w:val="007C2A95"/>
    <w:rsid w:val="007C2BA3"/>
    <w:rsid w:val="007C5267"/>
    <w:rsid w:val="007D3F5F"/>
    <w:rsid w:val="007D708F"/>
    <w:rsid w:val="007E08B1"/>
    <w:rsid w:val="007E2721"/>
    <w:rsid w:val="007E68D1"/>
    <w:rsid w:val="007F6544"/>
    <w:rsid w:val="0080108A"/>
    <w:rsid w:val="00803DF4"/>
    <w:rsid w:val="0081027A"/>
    <w:rsid w:val="00811AED"/>
    <w:rsid w:val="00817EA0"/>
    <w:rsid w:val="00833544"/>
    <w:rsid w:val="00841D0E"/>
    <w:rsid w:val="008710CA"/>
    <w:rsid w:val="00874C62"/>
    <w:rsid w:val="008821D8"/>
    <w:rsid w:val="00894878"/>
    <w:rsid w:val="008B43F6"/>
    <w:rsid w:val="008B518E"/>
    <w:rsid w:val="008B6262"/>
    <w:rsid w:val="008C045A"/>
    <w:rsid w:val="008C338F"/>
    <w:rsid w:val="008D4FE2"/>
    <w:rsid w:val="00911F18"/>
    <w:rsid w:val="00922229"/>
    <w:rsid w:val="00932F80"/>
    <w:rsid w:val="00942625"/>
    <w:rsid w:val="00942F0A"/>
    <w:rsid w:val="00957F2E"/>
    <w:rsid w:val="00962CE1"/>
    <w:rsid w:val="00973F36"/>
    <w:rsid w:val="009772F8"/>
    <w:rsid w:val="009915A5"/>
    <w:rsid w:val="00993142"/>
    <w:rsid w:val="00994286"/>
    <w:rsid w:val="009A40E7"/>
    <w:rsid w:val="009B2B70"/>
    <w:rsid w:val="009E3439"/>
    <w:rsid w:val="009F794A"/>
    <w:rsid w:val="00A0268F"/>
    <w:rsid w:val="00A142FE"/>
    <w:rsid w:val="00A14C03"/>
    <w:rsid w:val="00A3212E"/>
    <w:rsid w:val="00A42856"/>
    <w:rsid w:val="00A5109B"/>
    <w:rsid w:val="00A653AB"/>
    <w:rsid w:val="00A72F04"/>
    <w:rsid w:val="00A76A72"/>
    <w:rsid w:val="00A81888"/>
    <w:rsid w:val="00A828FA"/>
    <w:rsid w:val="00A87095"/>
    <w:rsid w:val="00A92707"/>
    <w:rsid w:val="00A96613"/>
    <w:rsid w:val="00A97CBB"/>
    <w:rsid w:val="00AA5F46"/>
    <w:rsid w:val="00AB693B"/>
    <w:rsid w:val="00AD2ACA"/>
    <w:rsid w:val="00AD6847"/>
    <w:rsid w:val="00B072AE"/>
    <w:rsid w:val="00B14288"/>
    <w:rsid w:val="00B20CB2"/>
    <w:rsid w:val="00B32C19"/>
    <w:rsid w:val="00B338DF"/>
    <w:rsid w:val="00B3427C"/>
    <w:rsid w:val="00B365D3"/>
    <w:rsid w:val="00B45632"/>
    <w:rsid w:val="00B558A8"/>
    <w:rsid w:val="00B76CE1"/>
    <w:rsid w:val="00B825C3"/>
    <w:rsid w:val="00B84A36"/>
    <w:rsid w:val="00B85B92"/>
    <w:rsid w:val="00B93F29"/>
    <w:rsid w:val="00B96B36"/>
    <w:rsid w:val="00B97C40"/>
    <w:rsid w:val="00BC1E96"/>
    <w:rsid w:val="00BC30F6"/>
    <w:rsid w:val="00BC47B3"/>
    <w:rsid w:val="00BD367F"/>
    <w:rsid w:val="00BE19EB"/>
    <w:rsid w:val="00BF0BE8"/>
    <w:rsid w:val="00BF4518"/>
    <w:rsid w:val="00C01859"/>
    <w:rsid w:val="00C12621"/>
    <w:rsid w:val="00C26C74"/>
    <w:rsid w:val="00C271DE"/>
    <w:rsid w:val="00C31C17"/>
    <w:rsid w:val="00C5687C"/>
    <w:rsid w:val="00C66489"/>
    <w:rsid w:val="00C76D09"/>
    <w:rsid w:val="00C77BAE"/>
    <w:rsid w:val="00C90783"/>
    <w:rsid w:val="00C92E54"/>
    <w:rsid w:val="00CA0A42"/>
    <w:rsid w:val="00CA0FA2"/>
    <w:rsid w:val="00CA4EF0"/>
    <w:rsid w:val="00CC158D"/>
    <w:rsid w:val="00CC4D74"/>
    <w:rsid w:val="00CD4128"/>
    <w:rsid w:val="00CE1614"/>
    <w:rsid w:val="00D03A2D"/>
    <w:rsid w:val="00D06B33"/>
    <w:rsid w:val="00D12197"/>
    <w:rsid w:val="00D139D2"/>
    <w:rsid w:val="00D2311B"/>
    <w:rsid w:val="00D5769B"/>
    <w:rsid w:val="00D616FB"/>
    <w:rsid w:val="00D64878"/>
    <w:rsid w:val="00D877C2"/>
    <w:rsid w:val="00D9391A"/>
    <w:rsid w:val="00DA2B1E"/>
    <w:rsid w:val="00DB46A1"/>
    <w:rsid w:val="00DC1C3C"/>
    <w:rsid w:val="00DD1317"/>
    <w:rsid w:val="00DE4C4C"/>
    <w:rsid w:val="00E02021"/>
    <w:rsid w:val="00E369F5"/>
    <w:rsid w:val="00E46C08"/>
    <w:rsid w:val="00E51B35"/>
    <w:rsid w:val="00E56ADA"/>
    <w:rsid w:val="00E608A1"/>
    <w:rsid w:val="00E6135F"/>
    <w:rsid w:val="00E715C7"/>
    <w:rsid w:val="00E7203F"/>
    <w:rsid w:val="00E75797"/>
    <w:rsid w:val="00E9027E"/>
    <w:rsid w:val="00EA15E2"/>
    <w:rsid w:val="00EA6A89"/>
    <w:rsid w:val="00EE1498"/>
    <w:rsid w:val="00EF015C"/>
    <w:rsid w:val="00EF0596"/>
    <w:rsid w:val="00EF6010"/>
    <w:rsid w:val="00F0279A"/>
    <w:rsid w:val="00F14047"/>
    <w:rsid w:val="00F20B58"/>
    <w:rsid w:val="00F2354C"/>
    <w:rsid w:val="00F251D2"/>
    <w:rsid w:val="00F31614"/>
    <w:rsid w:val="00F412C3"/>
    <w:rsid w:val="00F45ECC"/>
    <w:rsid w:val="00F52F5F"/>
    <w:rsid w:val="00F71D1F"/>
    <w:rsid w:val="00F72E0E"/>
    <w:rsid w:val="00F826D5"/>
    <w:rsid w:val="00FA52BB"/>
    <w:rsid w:val="00FB75B0"/>
    <w:rsid w:val="00FD33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C0C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139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C0CC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C0CC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7E01"/>
    <w:pPr>
      <w:ind w:left="720"/>
      <w:contextualSpacing/>
    </w:pPr>
  </w:style>
  <w:style w:type="paragraph" w:styleId="Sinespaciado">
    <w:name w:val="No Spacing"/>
    <w:link w:val="SinespaciadoCar"/>
    <w:uiPriority w:val="1"/>
    <w:qFormat/>
    <w:rsid w:val="00217C20"/>
    <w:pPr>
      <w:spacing w:after="0" w:line="240" w:lineRule="auto"/>
    </w:pPr>
  </w:style>
  <w:style w:type="paragraph" w:styleId="Textonotapie">
    <w:name w:val="footnote text"/>
    <w:basedOn w:val="Normal"/>
    <w:link w:val="TextonotapieCar"/>
    <w:uiPriority w:val="99"/>
    <w:unhideWhenUsed/>
    <w:rsid w:val="00363264"/>
    <w:pPr>
      <w:spacing w:after="0" w:line="240" w:lineRule="auto"/>
    </w:pPr>
    <w:rPr>
      <w:sz w:val="20"/>
      <w:szCs w:val="20"/>
    </w:rPr>
  </w:style>
  <w:style w:type="character" w:customStyle="1" w:styleId="TextonotapieCar">
    <w:name w:val="Texto nota pie Car"/>
    <w:basedOn w:val="Fuentedeprrafopredeter"/>
    <w:link w:val="Textonotapie"/>
    <w:uiPriority w:val="99"/>
    <w:rsid w:val="00363264"/>
    <w:rPr>
      <w:sz w:val="20"/>
      <w:szCs w:val="20"/>
    </w:rPr>
  </w:style>
  <w:style w:type="character" w:styleId="Refdenotaalpie">
    <w:name w:val="footnote reference"/>
    <w:basedOn w:val="Fuentedeprrafopredeter"/>
    <w:uiPriority w:val="99"/>
    <w:semiHidden/>
    <w:unhideWhenUsed/>
    <w:rsid w:val="00363264"/>
    <w:rPr>
      <w:vertAlign w:val="superscript"/>
    </w:rPr>
  </w:style>
  <w:style w:type="paragraph" w:styleId="NormalWeb">
    <w:name w:val="Normal (Web)"/>
    <w:basedOn w:val="Normal"/>
    <w:uiPriority w:val="99"/>
    <w:unhideWhenUsed/>
    <w:rsid w:val="00A14C0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contenidorojo">
    <w:name w:val="titulocontenidorojo"/>
    <w:basedOn w:val="Fuentedeprrafopredeter"/>
    <w:rsid w:val="00A14C03"/>
  </w:style>
  <w:style w:type="paragraph" w:styleId="Textodeglobo">
    <w:name w:val="Balloon Text"/>
    <w:basedOn w:val="Normal"/>
    <w:link w:val="TextodegloboCar"/>
    <w:uiPriority w:val="99"/>
    <w:semiHidden/>
    <w:unhideWhenUsed/>
    <w:rsid w:val="00B20C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0CB2"/>
    <w:rPr>
      <w:rFonts w:ascii="Tahoma" w:hAnsi="Tahoma" w:cs="Tahoma"/>
      <w:sz w:val="16"/>
      <w:szCs w:val="16"/>
    </w:rPr>
  </w:style>
  <w:style w:type="table" w:styleId="Tablaconcuadrcula">
    <w:name w:val="Table Grid"/>
    <w:basedOn w:val="Tablanormal"/>
    <w:uiPriority w:val="59"/>
    <w:rsid w:val="00695B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D139D2"/>
    <w:rPr>
      <w:rFonts w:asciiTheme="majorHAnsi" w:eastAsiaTheme="majorEastAsia" w:hAnsiTheme="majorHAnsi" w:cstheme="majorBidi"/>
      <w:b/>
      <w:bCs/>
      <w:color w:val="4F81BD" w:themeColor="accent1"/>
      <w:sz w:val="26"/>
      <w:szCs w:val="26"/>
    </w:rPr>
  </w:style>
  <w:style w:type="table" w:styleId="Sombreadoclaro">
    <w:name w:val="Light Shading"/>
    <w:basedOn w:val="Tablanormal"/>
    <w:uiPriority w:val="60"/>
    <w:rsid w:val="005F38C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785D6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
    <w:name w:val="Light List"/>
    <w:basedOn w:val="Tablanormal"/>
    <w:uiPriority w:val="61"/>
    <w:rsid w:val="00785D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785D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pple-converted-space">
    <w:name w:val="apple-converted-space"/>
    <w:basedOn w:val="Fuentedeprrafopredeter"/>
    <w:rsid w:val="00A92707"/>
  </w:style>
  <w:style w:type="table" w:styleId="Sombreadomedio1-nfasis1">
    <w:name w:val="Medium Shading 1 Accent 1"/>
    <w:basedOn w:val="Tablanormal"/>
    <w:uiPriority w:val="63"/>
    <w:rsid w:val="00A9270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Encabezado">
    <w:name w:val="header"/>
    <w:basedOn w:val="Normal"/>
    <w:link w:val="EncabezadoCar"/>
    <w:uiPriority w:val="99"/>
    <w:unhideWhenUsed/>
    <w:rsid w:val="00A653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53AB"/>
  </w:style>
  <w:style w:type="paragraph" w:styleId="Piedepgina">
    <w:name w:val="footer"/>
    <w:basedOn w:val="Normal"/>
    <w:link w:val="PiedepginaCar"/>
    <w:uiPriority w:val="99"/>
    <w:unhideWhenUsed/>
    <w:rsid w:val="00A653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53AB"/>
  </w:style>
  <w:style w:type="character" w:styleId="Hipervnculo">
    <w:name w:val="Hyperlink"/>
    <w:basedOn w:val="Fuentedeprrafopredeter"/>
    <w:uiPriority w:val="99"/>
    <w:unhideWhenUsed/>
    <w:rsid w:val="00A653AB"/>
    <w:rPr>
      <w:color w:val="0000FF" w:themeColor="hyperlink"/>
      <w:u w:val="single"/>
    </w:rPr>
  </w:style>
  <w:style w:type="paragraph" w:customStyle="1" w:styleId="TEXTO">
    <w:name w:val="TEXTO"/>
    <w:basedOn w:val="Normal"/>
    <w:rsid w:val="00BC47B3"/>
    <w:pPr>
      <w:spacing w:after="360" w:line="240" w:lineRule="auto"/>
      <w:ind w:left="567"/>
      <w:jc w:val="both"/>
    </w:pPr>
    <w:rPr>
      <w:rFonts w:ascii="Verdana" w:eastAsia="Times New Roman" w:hAnsi="Verdana" w:cs="Arial"/>
      <w:lang w:val="es-UY" w:eastAsia="es-ES"/>
    </w:rPr>
  </w:style>
  <w:style w:type="table" w:customStyle="1" w:styleId="Sombreadoclaro1">
    <w:name w:val="Sombreado claro1"/>
    <w:basedOn w:val="Tablanormal"/>
    <w:uiPriority w:val="60"/>
    <w:rsid w:val="00BC47B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4">
    <w:name w:val="Light List Accent 4"/>
    <w:basedOn w:val="Tablanormal"/>
    <w:uiPriority w:val="61"/>
    <w:rsid w:val="00BC47B3"/>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Ttulo1Car">
    <w:name w:val="Título 1 Car"/>
    <w:basedOn w:val="Fuentedeprrafopredeter"/>
    <w:link w:val="Ttulo1"/>
    <w:uiPriority w:val="9"/>
    <w:rsid w:val="002C0CCF"/>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2C0CCF"/>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C0CCF"/>
    <w:rPr>
      <w:rFonts w:asciiTheme="majorHAnsi" w:eastAsiaTheme="majorEastAsia" w:hAnsiTheme="majorHAnsi" w:cstheme="majorBidi"/>
      <w:b/>
      <w:bCs/>
      <w:i/>
      <w:iCs/>
      <w:color w:val="4F81BD" w:themeColor="accent1"/>
    </w:rPr>
  </w:style>
  <w:style w:type="character" w:customStyle="1" w:styleId="SinespaciadoCar">
    <w:name w:val="Sin espaciado Car"/>
    <w:basedOn w:val="Fuentedeprrafopredeter"/>
    <w:link w:val="Sinespaciado"/>
    <w:uiPriority w:val="1"/>
    <w:rsid w:val="002C0CCF"/>
  </w:style>
  <w:style w:type="character" w:styleId="nfasis">
    <w:name w:val="Emphasis"/>
    <w:basedOn w:val="Fuentedeprrafopredeter"/>
    <w:uiPriority w:val="20"/>
    <w:qFormat/>
    <w:rsid w:val="002C0CCF"/>
    <w:rPr>
      <w:b/>
      <w:bCs/>
      <w:i w:val="0"/>
      <w:iCs w:val="0"/>
    </w:rPr>
  </w:style>
  <w:style w:type="character" w:customStyle="1" w:styleId="st">
    <w:name w:val="st"/>
    <w:basedOn w:val="Fuentedeprrafopredeter"/>
    <w:rsid w:val="002C0CCF"/>
  </w:style>
  <w:style w:type="paragraph" w:styleId="TtulodeTDC">
    <w:name w:val="TOC Heading"/>
    <w:basedOn w:val="Ttulo1"/>
    <w:next w:val="Normal"/>
    <w:uiPriority w:val="39"/>
    <w:unhideWhenUsed/>
    <w:qFormat/>
    <w:rsid w:val="002C0CCF"/>
    <w:pPr>
      <w:outlineLvl w:val="9"/>
    </w:pPr>
    <w:rPr>
      <w:lang w:eastAsia="es-MX"/>
    </w:rPr>
  </w:style>
  <w:style w:type="paragraph" w:styleId="TDC1">
    <w:name w:val="toc 1"/>
    <w:basedOn w:val="Normal"/>
    <w:next w:val="Normal"/>
    <w:autoRedefine/>
    <w:uiPriority w:val="39"/>
    <w:unhideWhenUsed/>
    <w:rsid w:val="002C0CCF"/>
    <w:pPr>
      <w:spacing w:after="100"/>
    </w:pPr>
  </w:style>
  <w:style w:type="paragraph" w:styleId="TDC2">
    <w:name w:val="toc 2"/>
    <w:basedOn w:val="Normal"/>
    <w:next w:val="Normal"/>
    <w:autoRedefine/>
    <w:uiPriority w:val="39"/>
    <w:unhideWhenUsed/>
    <w:rsid w:val="002C0CCF"/>
    <w:pPr>
      <w:spacing w:after="100"/>
      <w:ind w:left="220"/>
    </w:pPr>
  </w:style>
  <w:style w:type="paragraph" w:styleId="TDC3">
    <w:name w:val="toc 3"/>
    <w:basedOn w:val="Normal"/>
    <w:next w:val="Normal"/>
    <w:autoRedefine/>
    <w:uiPriority w:val="39"/>
    <w:unhideWhenUsed/>
    <w:rsid w:val="002C0CCF"/>
    <w:pPr>
      <w:spacing w:after="100"/>
      <w:ind w:left="440"/>
    </w:pPr>
  </w:style>
  <w:style w:type="character" w:styleId="Refdecomentario">
    <w:name w:val="annotation reference"/>
    <w:basedOn w:val="Fuentedeprrafopredeter"/>
    <w:uiPriority w:val="99"/>
    <w:semiHidden/>
    <w:unhideWhenUsed/>
    <w:rsid w:val="002C0CCF"/>
    <w:rPr>
      <w:sz w:val="16"/>
      <w:szCs w:val="16"/>
    </w:rPr>
  </w:style>
  <w:style w:type="paragraph" w:styleId="Textocomentario">
    <w:name w:val="annotation text"/>
    <w:basedOn w:val="Normal"/>
    <w:link w:val="TextocomentarioCar"/>
    <w:uiPriority w:val="99"/>
    <w:semiHidden/>
    <w:unhideWhenUsed/>
    <w:rsid w:val="002C0CC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C0CCF"/>
    <w:rPr>
      <w:sz w:val="20"/>
      <w:szCs w:val="20"/>
    </w:rPr>
  </w:style>
  <w:style w:type="paragraph" w:styleId="Asuntodelcomentario">
    <w:name w:val="annotation subject"/>
    <w:basedOn w:val="Textocomentario"/>
    <w:next w:val="Textocomentario"/>
    <w:link w:val="AsuntodelcomentarioCar"/>
    <w:uiPriority w:val="99"/>
    <w:semiHidden/>
    <w:unhideWhenUsed/>
    <w:rsid w:val="002C0CCF"/>
    <w:rPr>
      <w:b/>
      <w:bCs/>
    </w:rPr>
  </w:style>
  <w:style w:type="character" w:customStyle="1" w:styleId="AsuntodelcomentarioCar">
    <w:name w:val="Asunto del comentario Car"/>
    <w:basedOn w:val="TextocomentarioCar"/>
    <w:link w:val="Asuntodelcomentario"/>
    <w:uiPriority w:val="99"/>
    <w:semiHidden/>
    <w:rsid w:val="002C0CCF"/>
    <w:rPr>
      <w:b/>
      <w:bCs/>
      <w:sz w:val="20"/>
      <w:szCs w:val="20"/>
    </w:rPr>
  </w:style>
  <w:style w:type="character" w:customStyle="1" w:styleId="hps">
    <w:name w:val="hps"/>
    <w:basedOn w:val="Fuentedeprrafopredeter"/>
    <w:rsid w:val="002C0CCF"/>
  </w:style>
  <w:style w:type="character" w:customStyle="1" w:styleId="alt-edited">
    <w:name w:val="alt-edited"/>
    <w:basedOn w:val="Fuentedeprrafopredeter"/>
    <w:rsid w:val="002C0CCF"/>
  </w:style>
  <w:style w:type="paragraph" w:customStyle="1" w:styleId="Default">
    <w:name w:val="Default"/>
    <w:rsid w:val="002C0CCF"/>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il">
    <w:name w:val="il"/>
    <w:basedOn w:val="Fuentedeprrafopredeter"/>
    <w:rsid w:val="002C0CCF"/>
  </w:style>
  <w:style w:type="paragraph" w:customStyle="1" w:styleId="Pa1">
    <w:name w:val="Pa1"/>
    <w:basedOn w:val="Default"/>
    <w:next w:val="Default"/>
    <w:uiPriority w:val="99"/>
    <w:rsid w:val="002C0CCF"/>
    <w:pPr>
      <w:spacing w:line="221" w:lineRule="atLeast"/>
    </w:pPr>
    <w:rPr>
      <w:rFonts w:ascii="Trebuchet MS" w:hAnsi="Trebuchet MS" w:cstheme="minorBidi"/>
      <w:color w:val="auto"/>
    </w:rPr>
  </w:style>
  <w:style w:type="character" w:customStyle="1" w:styleId="categorydata">
    <w:name w:val="category_data"/>
    <w:basedOn w:val="Fuentedeprrafopredeter"/>
    <w:rsid w:val="00486591"/>
  </w:style>
  <w:style w:type="character" w:styleId="Textoennegrita">
    <w:name w:val="Strong"/>
    <w:basedOn w:val="Fuentedeprrafopredeter"/>
    <w:uiPriority w:val="22"/>
    <w:qFormat/>
    <w:rsid w:val="000F34E8"/>
    <w:rPr>
      <w:b/>
      <w:bCs/>
    </w:rPr>
  </w:style>
  <w:style w:type="paragraph" w:styleId="Epgrafe">
    <w:name w:val="caption"/>
    <w:basedOn w:val="Normal"/>
    <w:next w:val="Normal"/>
    <w:unhideWhenUsed/>
    <w:qFormat/>
    <w:rsid w:val="00A42856"/>
    <w:pPr>
      <w:spacing w:after="0" w:line="240" w:lineRule="auto"/>
    </w:pPr>
    <w:rPr>
      <w:rFonts w:ascii="Times New Roman" w:eastAsia="Times New Roman" w:hAnsi="Times New Roman" w:cs="Times New Roman"/>
      <w:b/>
      <w:bCs/>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C0C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139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C0CC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C0CC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7E01"/>
    <w:pPr>
      <w:ind w:left="720"/>
      <w:contextualSpacing/>
    </w:pPr>
  </w:style>
  <w:style w:type="paragraph" w:styleId="Sinespaciado">
    <w:name w:val="No Spacing"/>
    <w:link w:val="SinespaciadoCar"/>
    <w:uiPriority w:val="1"/>
    <w:qFormat/>
    <w:rsid w:val="00217C20"/>
    <w:pPr>
      <w:spacing w:after="0" w:line="240" w:lineRule="auto"/>
    </w:pPr>
  </w:style>
  <w:style w:type="paragraph" w:styleId="Textonotapie">
    <w:name w:val="footnote text"/>
    <w:basedOn w:val="Normal"/>
    <w:link w:val="TextonotapieCar"/>
    <w:uiPriority w:val="99"/>
    <w:unhideWhenUsed/>
    <w:rsid w:val="00363264"/>
    <w:pPr>
      <w:spacing w:after="0" w:line="240" w:lineRule="auto"/>
    </w:pPr>
    <w:rPr>
      <w:sz w:val="20"/>
      <w:szCs w:val="20"/>
    </w:rPr>
  </w:style>
  <w:style w:type="character" w:customStyle="1" w:styleId="TextonotapieCar">
    <w:name w:val="Texto nota pie Car"/>
    <w:basedOn w:val="Fuentedeprrafopredeter"/>
    <w:link w:val="Textonotapie"/>
    <w:uiPriority w:val="99"/>
    <w:rsid w:val="00363264"/>
    <w:rPr>
      <w:sz w:val="20"/>
      <w:szCs w:val="20"/>
    </w:rPr>
  </w:style>
  <w:style w:type="character" w:styleId="Refdenotaalpie">
    <w:name w:val="footnote reference"/>
    <w:basedOn w:val="Fuentedeprrafopredeter"/>
    <w:uiPriority w:val="99"/>
    <w:semiHidden/>
    <w:unhideWhenUsed/>
    <w:rsid w:val="00363264"/>
    <w:rPr>
      <w:vertAlign w:val="superscript"/>
    </w:rPr>
  </w:style>
  <w:style w:type="paragraph" w:styleId="NormalWeb">
    <w:name w:val="Normal (Web)"/>
    <w:basedOn w:val="Normal"/>
    <w:uiPriority w:val="99"/>
    <w:unhideWhenUsed/>
    <w:rsid w:val="00A14C0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contenidorojo">
    <w:name w:val="titulocontenidorojo"/>
    <w:basedOn w:val="Fuentedeprrafopredeter"/>
    <w:rsid w:val="00A14C03"/>
  </w:style>
  <w:style w:type="paragraph" w:styleId="Textodeglobo">
    <w:name w:val="Balloon Text"/>
    <w:basedOn w:val="Normal"/>
    <w:link w:val="TextodegloboCar"/>
    <w:uiPriority w:val="99"/>
    <w:semiHidden/>
    <w:unhideWhenUsed/>
    <w:rsid w:val="00B20C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0CB2"/>
    <w:rPr>
      <w:rFonts w:ascii="Tahoma" w:hAnsi="Tahoma" w:cs="Tahoma"/>
      <w:sz w:val="16"/>
      <w:szCs w:val="16"/>
    </w:rPr>
  </w:style>
  <w:style w:type="table" w:styleId="Tablaconcuadrcula">
    <w:name w:val="Table Grid"/>
    <w:basedOn w:val="Tablanormal"/>
    <w:uiPriority w:val="59"/>
    <w:rsid w:val="00695B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D139D2"/>
    <w:rPr>
      <w:rFonts w:asciiTheme="majorHAnsi" w:eastAsiaTheme="majorEastAsia" w:hAnsiTheme="majorHAnsi" w:cstheme="majorBidi"/>
      <w:b/>
      <w:bCs/>
      <w:color w:val="4F81BD" w:themeColor="accent1"/>
      <w:sz w:val="26"/>
      <w:szCs w:val="26"/>
    </w:rPr>
  </w:style>
  <w:style w:type="table" w:styleId="Sombreadoclaro">
    <w:name w:val="Light Shading"/>
    <w:basedOn w:val="Tablanormal"/>
    <w:uiPriority w:val="60"/>
    <w:rsid w:val="005F38C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785D6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
    <w:name w:val="Light List"/>
    <w:basedOn w:val="Tablanormal"/>
    <w:uiPriority w:val="61"/>
    <w:rsid w:val="00785D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785D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pple-converted-space">
    <w:name w:val="apple-converted-space"/>
    <w:basedOn w:val="Fuentedeprrafopredeter"/>
    <w:rsid w:val="00A92707"/>
  </w:style>
  <w:style w:type="table" w:styleId="Sombreadomedio1-nfasis1">
    <w:name w:val="Medium Shading 1 Accent 1"/>
    <w:basedOn w:val="Tablanormal"/>
    <w:uiPriority w:val="63"/>
    <w:rsid w:val="00A9270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Encabezado">
    <w:name w:val="header"/>
    <w:basedOn w:val="Normal"/>
    <w:link w:val="EncabezadoCar"/>
    <w:uiPriority w:val="99"/>
    <w:unhideWhenUsed/>
    <w:rsid w:val="00A653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53AB"/>
  </w:style>
  <w:style w:type="paragraph" w:styleId="Piedepgina">
    <w:name w:val="footer"/>
    <w:basedOn w:val="Normal"/>
    <w:link w:val="PiedepginaCar"/>
    <w:uiPriority w:val="99"/>
    <w:unhideWhenUsed/>
    <w:rsid w:val="00A653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53AB"/>
  </w:style>
  <w:style w:type="character" w:styleId="Hipervnculo">
    <w:name w:val="Hyperlink"/>
    <w:basedOn w:val="Fuentedeprrafopredeter"/>
    <w:uiPriority w:val="99"/>
    <w:unhideWhenUsed/>
    <w:rsid w:val="00A653AB"/>
    <w:rPr>
      <w:color w:val="0000FF" w:themeColor="hyperlink"/>
      <w:u w:val="single"/>
    </w:rPr>
  </w:style>
  <w:style w:type="paragraph" w:customStyle="1" w:styleId="TEXTO">
    <w:name w:val="TEXTO"/>
    <w:basedOn w:val="Normal"/>
    <w:rsid w:val="00BC47B3"/>
    <w:pPr>
      <w:spacing w:after="360" w:line="240" w:lineRule="auto"/>
      <w:ind w:left="567"/>
      <w:jc w:val="both"/>
    </w:pPr>
    <w:rPr>
      <w:rFonts w:ascii="Verdana" w:eastAsia="Times New Roman" w:hAnsi="Verdana" w:cs="Arial"/>
      <w:lang w:val="es-UY" w:eastAsia="es-ES"/>
    </w:rPr>
  </w:style>
  <w:style w:type="table" w:customStyle="1" w:styleId="Sombreadoclaro1">
    <w:name w:val="Sombreado claro1"/>
    <w:basedOn w:val="Tablanormal"/>
    <w:uiPriority w:val="60"/>
    <w:rsid w:val="00BC47B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4">
    <w:name w:val="Light List Accent 4"/>
    <w:basedOn w:val="Tablanormal"/>
    <w:uiPriority w:val="61"/>
    <w:rsid w:val="00BC47B3"/>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Ttulo1Car">
    <w:name w:val="Título 1 Car"/>
    <w:basedOn w:val="Fuentedeprrafopredeter"/>
    <w:link w:val="Ttulo1"/>
    <w:uiPriority w:val="9"/>
    <w:rsid w:val="002C0CCF"/>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2C0CCF"/>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C0CCF"/>
    <w:rPr>
      <w:rFonts w:asciiTheme="majorHAnsi" w:eastAsiaTheme="majorEastAsia" w:hAnsiTheme="majorHAnsi" w:cstheme="majorBidi"/>
      <w:b/>
      <w:bCs/>
      <w:i/>
      <w:iCs/>
      <w:color w:val="4F81BD" w:themeColor="accent1"/>
    </w:rPr>
  </w:style>
  <w:style w:type="character" w:customStyle="1" w:styleId="SinespaciadoCar">
    <w:name w:val="Sin espaciado Car"/>
    <w:basedOn w:val="Fuentedeprrafopredeter"/>
    <w:link w:val="Sinespaciado"/>
    <w:uiPriority w:val="1"/>
    <w:rsid w:val="002C0CCF"/>
  </w:style>
  <w:style w:type="character" w:styleId="nfasis">
    <w:name w:val="Emphasis"/>
    <w:basedOn w:val="Fuentedeprrafopredeter"/>
    <w:uiPriority w:val="20"/>
    <w:qFormat/>
    <w:rsid w:val="002C0CCF"/>
    <w:rPr>
      <w:b/>
      <w:bCs/>
      <w:i w:val="0"/>
      <w:iCs w:val="0"/>
    </w:rPr>
  </w:style>
  <w:style w:type="character" w:customStyle="1" w:styleId="st">
    <w:name w:val="st"/>
    <w:basedOn w:val="Fuentedeprrafopredeter"/>
    <w:rsid w:val="002C0CCF"/>
  </w:style>
  <w:style w:type="paragraph" w:styleId="TtulodeTDC">
    <w:name w:val="TOC Heading"/>
    <w:basedOn w:val="Ttulo1"/>
    <w:next w:val="Normal"/>
    <w:uiPriority w:val="39"/>
    <w:unhideWhenUsed/>
    <w:qFormat/>
    <w:rsid w:val="002C0CCF"/>
    <w:pPr>
      <w:outlineLvl w:val="9"/>
    </w:pPr>
    <w:rPr>
      <w:lang w:eastAsia="es-MX"/>
    </w:rPr>
  </w:style>
  <w:style w:type="paragraph" w:styleId="TDC1">
    <w:name w:val="toc 1"/>
    <w:basedOn w:val="Normal"/>
    <w:next w:val="Normal"/>
    <w:autoRedefine/>
    <w:uiPriority w:val="39"/>
    <w:unhideWhenUsed/>
    <w:rsid w:val="002C0CCF"/>
    <w:pPr>
      <w:spacing w:after="100"/>
    </w:pPr>
  </w:style>
  <w:style w:type="paragraph" w:styleId="TDC2">
    <w:name w:val="toc 2"/>
    <w:basedOn w:val="Normal"/>
    <w:next w:val="Normal"/>
    <w:autoRedefine/>
    <w:uiPriority w:val="39"/>
    <w:unhideWhenUsed/>
    <w:rsid w:val="002C0CCF"/>
    <w:pPr>
      <w:spacing w:after="100"/>
      <w:ind w:left="220"/>
    </w:pPr>
  </w:style>
  <w:style w:type="paragraph" w:styleId="TDC3">
    <w:name w:val="toc 3"/>
    <w:basedOn w:val="Normal"/>
    <w:next w:val="Normal"/>
    <w:autoRedefine/>
    <w:uiPriority w:val="39"/>
    <w:unhideWhenUsed/>
    <w:rsid w:val="002C0CCF"/>
    <w:pPr>
      <w:spacing w:after="100"/>
      <w:ind w:left="440"/>
    </w:pPr>
  </w:style>
  <w:style w:type="character" w:styleId="Refdecomentario">
    <w:name w:val="annotation reference"/>
    <w:basedOn w:val="Fuentedeprrafopredeter"/>
    <w:uiPriority w:val="99"/>
    <w:semiHidden/>
    <w:unhideWhenUsed/>
    <w:rsid w:val="002C0CCF"/>
    <w:rPr>
      <w:sz w:val="16"/>
      <w:szCs w:val="16"/>
    </w:rPr>
  </w:style>
  <w:style w:type="paragraph" w:styleId="Textocomentario">
    <w:name w:val="annotation text"/>
    <w:basedOn w:val="Normal"/>
    <w:link w:val="TextocomentarioCar"/>
    <w:uiPriority w:val="99"/>
    <w:semiHidden/>
    <w:unhideWhenUsed/>
    <w:rsid w:val="002C0CC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C0CCF"/>
    <w:rPr>
      <w:sz w:val="20"/>
      <w:szCs w:val="20"/>
    </w:rPr>
  </w:style>
  <w:style w:type="paragraph" w:styleId="Asuntodelcomentario">
    <w:name w:val="annotation subject"/>
    <w:basedOn w:val="Textocomentario"/>
    <w:next w:val="Textocomentario"/>
    <w:link w:val="AsuntodelcomentarioCar"/>
    <w:uiPriority w:val="99"/>
    <w:semiHidden/>
    <w:unhideWhenUsed/>
    <w:rsid w:val="002C0CCF"/>
    <w:rPr>
      <w:b/>
      <w:bCs/>
    </w:rPr>
  </w:style>
  <w:style w:type="character" w:customStyle="1" w:styleId="AsuntodelcomentarioCar">
    <w:name w:val="Asunto del comentario Car"/>
    <w:basedOn w:val="TextocomentarioCar"/>
    <w:link w:val="Asuntodelcomentario"/>
    <w:uiPriority w:val="99"/>
    <w:semiHidden/>
    <w:rsid w:val="002C0CCF"/>
    <w:rPr>
      <w:b/>
      <w:bCs/>
      <w:sz w:val="20"/>
      <w:szCs w:val="20"/>
    </w:rPr>
  </w:style>
  <w:style w:type="character" w:customStyle="1" w:styleId="hps">
    <w:name w:val="hps"/>
    <w:basedOn w:val="Fuentedeprrafopredeter"/>
    <w:rsid w:val="002C0CCF"/>
  </w:style>
  <w:style w:type="character" w:customStyle="1" w:styleId="alt-edited">
    <w:name w:val="alt-edited"/>
    <w:basedOn w:val="Fuentedeprrafopredeter"/>
    <w:rsid w:val="002C0CCF"/>
  </w:style>
  <w:style w:type="paragraph" w:customStyle="1" w:styleId="Default">
    <w:name w:val="Default"/>
    <w:rsid w:val="002C0CCF"/>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il">
    <w:name w:val="il"/>
    <w:basedOn w:val="Fuentedeprrafopredeter"/>
    <w:rsid w:val="002C0CCF"/>
  </w:style>
  <w:style w:type="paragraph" w:customStyle="1" w:styleId="Pa1">
    <w:name w:val="Pa1"/>
    <w:basedOn w:val="Default"/>
    <w:next w:val="Default"/>
    <w:uiPriority w:val="99"/>
    <w:rsid w:val="002C0CCF"/>
    <w:pPr>
      <w:spacing w:line="221" w:lineRule="atLeast"/>
    </w:pPr>
    <w:rPr>
      <w:rFonts w:ascii="Trebuchet MS" w:hAnsi="Trebuchet MS" w:cstheme="minorBidi"/>
      <w:color w:val="auto"/>
    </w:rPr>
  </w:style>
  <w:style w:type="character" w:customStyle="1" w:styleId="categorydata">
    <w:name w:val="category_data"/>
    <w:basedOn w:val="Fuentedeprrafopredeter"/>
    <w:rsid w:val="00486591"/>
  </w:style>
  <w:style w:type="character" w:styleId="Textoennegrita">
    <w:name w:val="Strong"/>
    <w:basedOn w:val="Fuentedeprrafopredeter"/>
    <w:uiPriority w:val="22"/>
    <w:qFormat/>
    <w:rsid w:val="000F34E8"/>
    <w:rPr>
      <w:b/>
      <w:bCs/>
    </w:rPr>
  </w:style>
  <w:style w:type="paragraph" w:styleId="Epgrafe">
    <w:name w:val="caption"/>
    <w:basedOn w:val="Normal"/>
    <w:next w:val="Normal"/>
    <w:unhideWhenUsed/>
    <w:qFormat/>
    <w:rsid w:val="00A42856"/>
    <w:pPr>
      <w:spacing w:after="0" w:line="240" w:lineRule="auto"/>
    </w:pPr>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35678">
      <w:bodyDiv w:val="1"/>
      <w:marLeft w:val="0"/>
      <w:marRight w:val="0"/>
      <w:marTop w:val="0"/>
      <w:marBottom w:val="0"/>
      <w:divBdr>
        <w:top w:val="none" w:sz="0" w:space="0" w:color="auto"/>
        <w:left w:val="none" w:sz="0" w:space="0" w:color="auto"/>
        <w:bottom w:val="none" w:sz="0" w:space="0" w:color="auto"/>
        <w:right w:val="none" w:sz="0" w:space="0" w:color="auto"/>
      </w:divBdr>
    </w:div>
    <w:div w:id="144321261">
      <w:bodyDiv w:val="1"/>
      <w:marLeft w:val="0"/>
      <w:marRight w:val="0"/>
      <w:marTop w:val="0"/>
      <w:marBottom w:val="0"/>
      <w:divBdr>
        <w:top w:val="none" w:sz="0" w:space="0" w:color="auto"/>
        <w:left w:val="none" w:sz="0" w:space="0" w:color="auto"/>
        <w:bottom w:val="none" w:sz="0" w:space="0" w:color="auto"/>
        <w:right w:val="none" w:sz="0" w:space="0" w:color="auto"/>
      </w:divBdr>
    </w:div>
    <w:div w:id="312562315">
      <w:bodyDiv w:val="1"/>
      <w:marLeft w:val="0"/>
      <w:marRight w:val="0"/>
      <w:marTop w:val="0"/>
      <w:marBottom w:val="0"/>
      <w:divBdr>
        <w:top w:val="none" w:sz="0" w:space="0" w:color="auto"/>
        <w:left w:val="none" w:sz="0" w:space="0" w:color="auto"/>
        <w:bottom w:val="none" w:sz="0" w:space="0" w:color="auto"/>
        <w:right w:val="none" w:sz="0" w:space="0" w:color="auto"/>
      </w:divBdr>
    </w:div>
    <w:div w:id="824052629">
      <w:bodyDiv w:val="1"/>
      <w:marLeft w:val="0"/>
      <w:marRight w:val="0"/>
      <w:marTop w:val="0"/>
      <w:marBottom w:val="0"/>
      <w:divBdr>
        <w:top w:val="none" w:sz="0" w:space="0" w:color="auto"/>
        <w:left w:val="none" w:sz="0" w:space="0" w:color="auto"/>
        <w:bottom w:val="none" w:sz="0" w:space="0" w:color="auto"/>
        <w:right w:val="none" w:sz="0" w:space="0" w:color="auto"/>
      </w:divBdr>
    </w:div>
    <w:div w:id="1263414191">
      <w:bodyDiv w:val="1"/>
      <w:marLeft w:val="0"/>
      <w:marRight w:val="0"/>
      <w:marTop w:val="0"/>
      <w:marBottom w:val="0"/>
      <w:divBdr>
        <w:top w:val="none" w:sz="0" w:space="0" w:color="auto"/>
        <w:left w:val="none" w:sz="0" w:space="0" w:color="auto"/>
        <w:bottom w:val="none" w:sz="0" w:space="0" w:color="auto"/>
        <w:right w:val="none" w:sz="0" w:space="0" w:color="auto"/>
      </w:divBdr>
      <w:divsChild>
        <w:div w:id="1504707942">
          <w:marLeft w:val="0"/>
          <w:marRight w:val="0"/>
          <w:marTop w:val="0"/>
          <w:marBottom w:val="0"/>
          <w:divBdr>
            <w:top w:val="none" w:sz="0" w:space="0" w:color="auto"/>
            <w:left w:val="none" w:sz="0" w:space="0" w:color="auto"/>
            <w:bottom w:val="none" w:sz="0" w:space="0" w:color="auto"/>
            <w:right w:val="none" w:sz="0" w:space="0" w:color="auto"/>
          </w:divBdr>
          <w:divsChild>
            <w:div w:id="1458597508">
              <w:marLeft w:val="0"/>
              <w:marRight w:val="0"/>
              <w:marTop w:val="0"/>
              <w:marBottom w:val="0"/>
              <w:divBdr>
                <w:top w:val="none" w:sz="0" w:space="0" w:color="auto"/>
                <w:left w:val="none" w:sz="0" w:space="0" w:color="auto"/>
                <w:bottom w:val="none" w:sz="0" w:space="0" w:color="auto"/>
                <w:right w:val="none" w:sz="0" w:space="0" w:color="auto"/>
              </w:divBdr>
              <w:divsChild>
                <w:div w:id="72137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327560">
      <w:bodyDiv w:val="1"/>
      <w:marLeft w:val="0"/>
      <w:marRight w:val="0"/>
      <w:marTop w:val="0"/>
      <w:marBottom w:val="0"/>
      <w:divBdr>
        <w:top w:val="none" w:sz="0" w:space="0" w:color="auto"/>
        <w:left w:val="none" w:sz="0" w:space="0" w:color="auto"/>
        <w:bottom w:val="none" w:sz="0" w:space="0" w:color="auto"/>
        <w:right w:val="none" w:sz="0" w:space="0" w:color="auto"/>
      </w:divBdr>
    </w:div>
    <w:div w:id="1621644991">
      <w:bodyDiv w:val="1"/>
      <w:marLeft w:val="0"/>
      <w:marRight w:val="0"/>
      <w:marTop w:val="0"/>
      <w:marBottom w:val="0"/>
      <w:divBdr>
        <w:top w:val="none" w:sz="0" w:space="0" w:color="auto"/>
        <w:left w:val="none" w:sz="0" w:space="0" w:color="auto"/>
        <w:bottom w:val="none" w:sz="0" w:space="0" w:color="auto"/>
        <w:right w:val="none" w:sz="0" w:space="0" w:color="auto"/>
      </w:divBdr>
    </w:div>
    <w:div w:id="1875919673">
      <w:bodyDiv w:val="1"/>
      <w:marLeft w:val="0"/>
      <w:marRight w:val="0"/>
      <w:marTop w:val="0"/>
      <w:marBottom w:val="0"/>
      <w:divBdr>
        <w:top w:val="none" w:sz="0" w:space="0" w:color="auto"/>
        <w:left w:val="none" w:sz="0" w:space="0" w:color="auto"/>
        <w:bottom w:val="none" w:sz="0" w:space="0" w:color="auto"/>
        <w:right w:val="none" w:sz="0" w:space="0" w:color="auto"/>
      </w:divBdr>
    </w:div>
    <w:div w:id="203033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hyperlink" Target="http://www.profeco.gob.mx/" TargetMode="External"/><Relationship Id="rId3" Type="http://schemas.openxmlformats.org/officeDocument/2006/relationships/styles" Target="styles.xml"/><Relationship Id="rId21" Type="http://schemas.openxmlformats.org/officeDocument/2006/relationships/hyperlink" Target="http://www.consumer.es/web/es/economia_domestica/servicios-y-hogar/2007/04/11/161504.php" TargetMode="Externa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hyperlink" Target="http://www.cia.gov/library/publications/the-world-factbook/geos/mx.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yperlink" Target="http://www.consumer.es/web/es/salud/problemas_de_salud/2009/03/22/184072.php" TargetMode="External"/><Relationship Id="rId29" Type="http://schemas.openxmlformats.org/officeDocument/2006/relationships/hyperlink" Target="http://www.profeco.gob.mx/encuesta/brujula/bruj_2006/bol27_calentadores.as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http://www.sie.energia.gob.m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hyperlink" Target="http://www.conapo.gob.mx/" TargetMode="External"/><Relationship Id="rId28" Type="http://schemas.openxmlformats.org/officeDocument/2006/relationships/hyperlink" Target="http://app.cfe.gob.mx/Aplicaciones/QCFE/EstVtas/Historico.aspx" TargetMode="External"/><Relationship Id="rId10" Type="http://schemas.openxmlformats.org/officeDocument/2006/relationships/image" Target="media/image2.emf"/><Relationship Id="rId19" Type="http://schemas.openxmlformats.org/officeDocument/2006/relationships/hyperlink" Target="http://www.consumer.es/web/es/salud/problemas_de_salud/2008/09/28/180267.php"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1.emf"/><Relationship Id="rId27" Type="http://schemas.openxmlformats.org/officeDocument/2006/relationships/hyperlink" Target="http://sie.energia.gob.mx/sie/bdiController?action=login" TargetMode="External"/><Relationship Id="rId30" Type="http://schemas.openxmlformats.org/officeDocument/2006/relationships/hyperlink" Target="http://www.epa.gov/mold/preventionandcontrol.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FDADE-CFDE-4F5B-A60E-F93399BB7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60</Pages>
  <Words>39481</Words>
  <Characters>217151</Characters>
  <Application>Microsoft Office Word</Application>
  <DocSecurity>0</DocSecurity>
  <Lines>1809</Lines>
  <Paragraphs>512</Paragraphs>
  <ScaleCrop>false</ScaleCrop>
  <HeadingPairs>
    <vt:vector size="2" baseType="variant">
      <vt:variant>
        <vt:lpstr>Título</vt:lpstr>
      </vt:variant>
      <vt:variant>
        <vt:i4>1</vt:i4>
      </vt:variant>
    </vt:vector>
  </HeadingPairs>
  <TitlesOfParts>
    <vt:vector size="1" baseType="lpstr">
      <vt:lpstr>Co-beneficios de un programa de vivienda energéticamente eficiente en México</vt:lpstr>
    </vt:vector>
  </TitlesOfParts>
  <Company>Hewlett-Packard</Company>
  <LinksUpToDate>false</LinksUpToDate>
  <CharactersWithSpaces>256120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Co-beneficios de un programa de vivienda energéticamente eficiente en México</dc:title>
  <dc:subject>Elaborado por ENTE S.C. para CONAVI con el apoyo de Environment  Canada</dc:subject>
  <dc:creator>Marzo 2013</dc:creator>
  <cp:lastModifiedBy>Yutsil Guadalupe Sangines Sayavedra</cp:lastModifiedBy>
  <cp:revision>6</cp:revision>
  <dcterms:created xsi:type="dcterms:W3CDTF">2013-04-22T23:46:00Z</dcterms:created>
  <dcterms:modified xsi:type="dcterms:W3CDTF">2013-04-23T00:11:00Z</dcterms:modified>
</cp:coreProperties>
</file>